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4B8DA87" w:rsidR="009B6F95" w:rsidRPr="00C803F3" w:rsidRDefault="000E57AA">
      <w:r>
        <w:rPr>
          <w:b/>
          <w:sz w:val="32"/>
          <w:szCs w:val="24"/>
        </w:rPr>
        <w:t>Local government workforce capacity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2E5AD629" w:rsidR="00795C95" w:rsidRPr="00B66284" w:rsidRDefault="000E57AA" w:rsidP="00B84F31">
          <w:pPr>
            <w:ind w:left="0" w:firstLine="0"/>
            <w:rPr>
              <w:rStyle w:val="Title3Char"/>
              <w:b w:val="0"/>
              <w:bCs w:val="0"/>
            </w:rPr>
          </w:pPr>
          <w:r w:rsidRPr="0077628F">
            <w:rPr>
              <w:rStyle w:val="Title3Char"/>
              <w:b w:val="0"/>
              <w:bCs w:val="0"/>
            </w:rPr>
            <w:t>For direction.</w:t>
          </w:r>
        </w:p>
      </w:sdtContent>
    </w:sdt>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062A2CF1" w:rsidR="0082567F" w:rsidRPr="007D4715" w:rsidRDefault="00951D16" w:rsidP="0082567F">
      <w:pPr>
        <w:pStyle w:val="MainText"/>
        <w:rPr>
          <w:rFonts w:ascii="Arial" w:hAnsi="Arial" w:cs="Arial"/>
          <w:sz w:val="24"/>
          <w:szCs w:val="24"/>
        </w:rPr>
      </w:pPr>
      <w:r w:rsidRPr="00C231B4">
        <w:rPr>
          <w:rFonts w:ascii="Arial" w:hAnsi="Arial" w:cs="Arial"/>
          <w:sz w:val="24"/>
          <w:szCs w:val="24"/>
        </w:rPr>
        <w:t xml:space="preserve">This report sets out </w:t>
      </w:r>
      <w:r w:rsidR="00C231B4" w:rsidRPr="00C231B4">
        <w:rPr>
          <w:rFonts w:ascii="Arial" w:hAnsi="Arial" w:cs="Arial"/>
          <w:sz w:val="24"/>
          <w:szCs w:val="24"/>
        </w:rPr>
        <w:t xml:space="preserve">the latest draft of a prioritised plan of LGA action in relation to local government workforce capacity, seen </w:t>
      </w:r>
      <w:proofErr w:type="gramStart"/>
      <w:r w:rsidR="00C231B4" w:rsidRPr="00C231B4">
        <w:rPr>
          <w:rFonts w:ascii="Arial" w:hAnsi="Arial" w:cs="Arial"/>
          <w:sz w:val="24"/>
          <w:szCs w:val="24"/>
        </w:rPr>
        <w:t>in light of</w:t>
      </w:r>
      <w:proofErr w:type="gramEnd"/>
      <w:r w:rsidR="00C231B4" w:rsidRPr="00C231B4">
        <w:rPr>
          <w:rFonts w:ascii="Arial" w:hAnsi="Arial" w:cs="Arial"/>
          <w:sz w:val="24"/>
          <w:szCs w:val="24"/>
        </w:rPr>
        <w:t xml:space="preserve"> the relevant issues for service areas experiencing the </w:t>
      </w:r>
      <w:r w:rsidR="00C231B4" w:rsidRPr="007D4715">
        <w:rPr>
          <w:rFonts w:ascii="Arial" w:hAnsi="Arial" w:cs="Arial"/>
          <w:sz w:val="24"/>
          <w:szCs w:val="24"/>
        </w:rPr>
        <w:t xml:space="preserve">greatest challenges, </w:t>
      </w:r>
      <w:r w:rsidR="001A1AEE" w:rsidRPr="007D4715">
        <w:rPr>
          <w:rFonts w:ascii="Arial" w:hAnsi="Arial" w:cs="Arial"/>
          <w:sz w:val="24"/>
          <w:szCs w:val="24"/>
        </w:rPr>
        <w:t xml:space="preserve">latest progress and </w:t>
      </w:r>
      <w:r w:rsidR="00C231B4" w:rsidRPr="007D4715">
        <w:rPr>
          <w:rFonts w:ascii="Arial" w:hAnsi="Arial" w:cs="Arial"/>
          <w:sz w:val="24"/>
          <w:szCs w:val="24"/>
        </w:rPr>
        <w:t>actions underway and planned by other bodies.</w:t>
      </w:r>
      <w:r w:rsidR="00ED3C40" w:rsidRPr="007D4715">
        <w:rPr>
          <w:rFonts w:ascii="Arial" w:hAnsi="Arial" w:cs="Arial"/>
          <w:sz w:val="24"/>
          <w:szCs w:val="24"/>
        </w:rPr>
        <w:t xml:space="preserve">  Members are asked to </w:t>
      </w:r>
      <w:r w:rsidR="000468B5" w:rsidRPr="007D4715">
        <w:rPr>
          <w:rFonts w:ascii="Arial" w:hAnsi="Arial" w:cs="Arial"/>
          <w:sz w:val="24"/>
          <w:szCs w:val="24"/>
        </w:rPr>
        <w:t xml:space="preserve">comment on the </w:t>
      </w:r>
      <w:r w:rsidR="0095290A" w:rsidRPr="007D4715">
        <w:rPr>
          <w:rFonts w:ascii="Arial" w:hAnsi="Arial" w:cs="Arial"/>
          <w:sz w:val="24"/>
          <w:szCs w:val="24"/>
        </w:rPr>
        <w:t>draft plan</w:t>
      </w:r>
      <w:r w:rsidR="000D5894" w:rsidRPr="007D4715">
        <w:rPr>
          <w:rFonts w:ascii="Arial" w:hAnsi="Arial" w:cs="Arial"/>
          <w:sz w:val="24"/>
          <w:szCs w:val="24"/>
        </w:rPr>
        <w:t xml:space="preserve"> and </w:t>
      </w:r>
      <w:r w:rsidR="00040F3E" w:rsidRPr="007D4715">
        <w:rPr>
          <w:rFonts w:ascii="Arial" w:hAnsi="Arial" w:cs="Arial"/>
          <w:sz w:val="24"/>
          <w:szCs w:val="24"/>
        </w:rPr>
        <w:t>the approach to prioritised action in relation to a</w:t>
      </w:r>
      <w:r w:rsidR="00272EF8" w:rsidRPr="007D4715">
        <w:rPr>
          <w:rFonts w:ascii="Arial" w:hAnsi="Arial" w:cs="Arial"/>
          <w:sz w:val="24"/>
          <w:szCs w:val="24"/>
        </w:rPr>
        <w:t>c</w:t>
      </w:r>
      <w:r w:rsidR="00040F3E" w:rsidRPr="007D4715">
        <w:rPr>
          <w:rFonts w:ascii="Arial" w:hAnsi="Arial" w:cs="Arial"/>
          <w:sz w:val="24"/>
          <w:szCs w:val="24"/>
        </w:rPr>
        <w:t>tivity which is currently unfunded.</w:t>
      </w:r>
    </w:p>
    <w:p w14:paraId="25E00AC7" w14:textId="77777777" w:rsidR="004B3C2D" w:rsidRPr="007D4715" w:rsidRDefault="004B3C2D" w:rsidP="007D4715">
      <w:pPr>
        <w:pStyle w:val="Title3"/>
      </w:pPr>
    </w:p>
    <w:p w14:paraId="669BB848" w14:textId="5348AB4A" w:rsidR="00E272FA" w:rsidRPr="007D4715" w:rsidRDefault="00BC768C" w:rsidP="007D4715">
      <w:pPr>
        <w:pStyle w:val="Title3"/>
      </w:pPr>
      <w:r w:rsidRPr="007D4715">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F239FC" w:rsidRPr="007D4715">
            <w:rPr>
              <w:rStyle w:val="ReportTemplate"/>
              <w:b w:val="0"/>
              <w:bCs w:val="0"/>
            </w:rPr>
            <w:t>Support to the LG Workforce</w:t>
          </w:r>
        </w:sdtContent>
      </w:sdt>
    </w:p>
    <w:p w14:paraId="3BBE94E2" w14:textId="5D67A975" w:rsidR="009B6F95" w:rsidRDefault="00F56CEF" w:rsidP="007D471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CDAACEF">
                <wp:simplePos x="0" y="0"/>
                <wp:positionH relativeFrom="margin">
                  <wp:align>right</wp:align>
                </wp:positionH>
                <wp:positionV relativeFrom="paragraph">
                  <wp:posOffset>221615</wp:posOffset>
                </wp:positionV>
                <wp:extent cx="570547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333230EB" w:rsidR="000F69FB" w:rsidRPr="00A627DD" w:rsidRDefault="00E272FA" w:rsidP="00E272FA">
                                <w:pPr>
                                  <w:pStyle w:val="Heading2"/>
                                </w:pPr>
                                <w:r>
                                  <w:t>Recommendation</w:t>
                                </w:r>
                              </w:p>
                            </w:sdtContent>
                          </w:sdt>
                          <w:p w14:paraId="1C6878C4" w14:textId="77777777" w:rsidR="002073A6" w:rsidRPr="007D4715" w:rsidRDefault="00846EB5" w:rsidP="007D4715">
                            <w:pPr>
                              <w:pStyle w:val="Title3"/>
                            </w:pPr>
                            <w:r w:rsidRPr="007D4715">
                              <w:t>The Resources</w:t>
                            </w:r>
                            <w:r w:rsidR="00BF2E39" w:rsidRPr="007D4715">
                              <w:t xml:space="preserve"> Board</w:t>
                            </w:r>
                            <w:r w:rsidRPr="007D4715">
                              <w:t xml:space="preserve"> is asked to</w:t>
                            </w:r>
                            <w:r w:rsidR="00C7555A" w:rsidRPr="007D4715">
                              <w:t xml:space="preserve"> </w:t>
                            </w:r>
                          </w:p>
                          <w:p w14:paraId="164B7D96" w14:textId="4AD30A0E" w:rsidR="00F50AC6" w:rsidRPr="007D4715" w:rsidRDefault="002073A6" w:rsidP="007D4715">
                            <w:pPr>
                              <w:pStyle w:val="Title3"/>
                              <w:numPr>
                                <w:ilvl w:val="0"/>
                                <w:numId w:val="8"/>
                              </w:numPr>
                            </w:pPr>
                            <w:r w:rsidRPr="007D4715">
                              <w:t>R</w:t>
                            </w:r>
                            <w:r w:rsidR="0032615B" w:rsidRPr="007D4715">
                              <w:t>eview</w:t>
                            </w:r>
                            <w:r w:rsidR="00DE2BC5" w:rsidRPr="007D4715">
                              <w:t xml:space="preserve"> </w:t>
                            </w:r>
                            <w:r w:rsidR="00040498" w:rsidRPr="007D4715">
                              <w:t xml:space="preserve">and comment on </w:t>
                            </w:r>
                            <w:r w:rsidR="00DE2BC5" w:rsidRPr="007D4715">
                              <w:t xml:space="preserve">the draft plan </w:t>
                            </w:r>
                            <w:r w:rsidR="00C7555A" w:rsidRPr="007D4715">
                              <w:t xml:space="preserve">and approach to prioritised action </w:t>
                            </w:r>
                            <w:r w:rsidR="00DE2BC5" w:rsidRPr="007D4715">
                              <w:t>set out in th</w:t>
                            </w:r>
                            <w:r w:rsidR="00040498" w:rsidRPr="007D4715">
                              <w:t>e report</w:t>
                            </w:r>
                            <w:r w:rsidR="006651DD" w:rsidRPr="007D4715">
                              <w:t>, considering the full range of actions by councils,</w:t>
                            </w:r>
                            <w:r w:rsidR="004B6654" w:rsidRPr="007D4715">
                              <w:t xml:space="preserve"> other bodies and the LGA in the round</w:t>
                            </w:r>
                            <w:r w:rsidR="00C7555A" w:rsidRPr="007D4715">
                              <w:t>.</w:t>
                            </w:r>
                          </w:p>
                          <w:p w14:paraId="1D359933" w14:textId="2DC5024C" w:rsidR="002073A6" w:rsidRPr="007D4715" w:rsidRDefault="00A201FD" w:rsidP="007D4715">
                            <w:pPr>
                              <w:pStyle w:val="Title3"/>
                              <w:numPr>
                                <w:ilvl w:val="0"/>
                                <w:numId w:val="8"/>
                              </w:numPr>
                            </w:pPr>
                            <w:r w:rsidRPr="007D4715">
                              <w:t xml:space="preserve">Agree the </w:t>
                            </w:r>
                            <w:r w:rsidR="006E1BB2" w:rsidRPr="007D4715">
                              <w:t xml:space="preserve">proposed additional </w:t>
                            </w:r>
                            <w:r w:rsidR="00BA116E" w:rsidRPr="007D4715">
                              <w:t xml:space="preserve">content to be included in </w:t>
                            </w:r>
                            <w:r w:rsidR="005B6564" w:rsidRPr="007D4715">
                              <w:t>submissions for Autumn/ Spring statements/ budgets in relation to workforce resourcing, set out in para 9.32 of Appendix A</w:t>
                            </w:r>
                            <w:r w:rsidR="00F8137F" w:rsidRPr="007D4715">
                              <w:t>.</w:t>
                            </w:r>
                          </w:p>
                          <w:p w14:paraId="360E538A" w14:textId="77ED303F"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45pt;width:449.25pt;height:18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333230EB" w:rsidR="000F69FB" w:rsidRPr="00A627DD" w:rsidRDefault="00E272FA" w:rsidP="00E272FA">
                          <w:pPr>
                            <w:pStyle w:val="Heading2"/>
                          </w:pPr>
                          <w:r>
                            <w:t>Recommendation</w:t>
                          </w:r>
                        </w:p>
                      </w:sdtContent>
                    </w:sdt>
                    <w:p w14:paraId="1C6878C4" w14:textId="77777777" w:rsidR="002073A6" w:rsidRPr="007D4715" w:rsidRDefault="00846EB5" w:rsidP="007D4715">
                      <w:pPr>
                        <w:pStyle w:val="Title3"/>
                      </w:pPr>
                      <w:r w:rsidRPr="007D4715">
                        <w:t>The Resources</w:t>
                      </w:r>
                      <w:r w:rsidR="00BF2E39" w:rsidRPr="007D4715">
                        <w:t xml:space="preserve"> Board</w:t>
                      </w:r>
                      <w:r w:rsidRPr="007D4715">
                        <w:t xml:space="preserve"> is asked to</w:t>
                      </w:r>
                      <w:r w:rsidR="00C7555A" w:rsidRPr="007D4715">
                        <w:t xml:space="preserve"> </w:t>
                      </w:r>
                    </w:p>
                    <w:p w14:paraId="164B7D96" w14:textId="4AD30A0E" w:rsidR="00F50AC6" w:rsidRPr="007D4715" w:rsidRDefault="002073A6" w:rsidP="007D4715">
                      <w:pPr>
                        <w:pStyle w:val="Title3"/>
                        <w:numPr>
                          <w:ilvl w:val="0"/>
                          <w:numId w:val="8"/>
                        </w:numPr>
                      </w:pPr>
                      <w:r w:rsidRPr="007D4715">
                        <w:t>R</w:t>
                      </w:r>
                      <w:r w:rsidR="0032615B" w:rsidRPr="007D4715">
                        <w:t>eview</w:t>
                      </w:r>
                      <w:r w:rsidR="00DE2BC5" w:rsidRPr="007D4715">
                        <w:t xml:space="preserve"> </w:t>
                      </w:r>
                      <w:r w:rsidR="00040498" w:rsidRPr="007D4715">
                        <w:t xml:space="preserve">and comment on </w:t>
                      </w:r>
                      <w:r w:rsidR="00DE2BC5" w:rsidRPr="007D4715">
                        <w:t xml:space="preserve">the draft plan </w:t>
                      </w:r>
                      <w:r w:rsidR="00C7555A" w:rsidRPr="007D4715">
                        <w:t xml:space="preserve">and approach to prioritised action </w:t>
                      </w:r>
                      <w:r w:rsidR="00DE2BC5" w:rsidRPr="007D4715">
                        <w:t>set out in th</w:t>
                      </w:r>
                      <w:r w:rsidR="00040498" w:rsidRPr="007D4715">
                        <w:t>e report</w:t>
                      </w:r>
                      <w:r w:rsidR="006651DD" w:rsidRPr="007D4715">
                        <w:t>, considering the full range of actions by councils,</w:t>
                      </w:r>
                      <w:r w:rsidR="004B6654" w:rsidRPr="007D4715">
                        <w:t xml:space="preserve"> other bodies and the LGA in the round</w:t>
                      </w:r>
                      <w:r w:rsidR="00C7555A" w:rsidRPr="007D4715">
                        <w:t>.</w:t>
                      </w:r>
                    </w:p>
                    <w:p w14:paraId="1D359933" w14:textId="2DC5024C" w:rsidR="002073A6" w:rsidRPr="007D4715" w:rsidRDefault="00A201FD" w:rsidP="007D4715">
                      <w:pPr>
                        <w:pStyle w:val="Title3"/>
                        <w:numPr>
                          <w:ilvl w:val="0"/>
                          <w:numId w:val="8"/>
                        </w:numPr>
                      </w:pPr>
                      <w:r w:rsidRPr="007D4715">
                        <w:t xml:space="preserve">Agree the </w:t>
                      </w:r>
                      <w:r w:rsidR="006E1BB2" w:rsidRPr="007D4715">
                        <w:t xml:space="preserve">proposed additional </w:t>
                      </w:r>
                      <w:r w:rsidR="00BA116E" w:rsidRPr="007D4715">
                        <w:t xml:space="preserve">content to be included in </w:t>
                      </w:r>
                      <w:r w:rsidR="005B6564" w:rsidRPr="007D4715">
                        <w:t>submissions for Autumn/ Spring statements/ budgets in relation to workforce resourcing, set out in para 9.32 of Appendix A</w:t>
                      </w:r>
                      <w:r w:rsidR="00F8137F" w:rsidRPr="007D4715">
                        <w:t>.</w:t>
                      </w:r>
                    </w:p>
                    <w:p w14:paraId="360E538A" w14:textId="77ED303F" w:rsidR="004970F3" w:rsidRDefault="004970F3"/>
                  </w:txbxContent>
                </v:textbox>
                <w10:wrap anchorx="margin"/>
              </v:shape>
            </w:pict>
          </mc:Fallback>
        </mc:AlternateContent>
      </w:r>
    </w:p>
    <w:p w14:paraId="19626BE9" w14:textId="77777777" w:rsidR="009B6F95" w:rsidRDefault="009B6F95" w:rsidP="007D4715">
      <w:pPr>
        <w:pStyle w:val="Title3"/>
      </w:pPr>
    </w:p>
    <w:p w14:paraId="6FD279E5" w14:textId="77777777" w:rsidR="009B6F95" w:rsidRDefault="009B6F95" w:rsidP="007D4715">
      <w:pPr>
        <w:pStyle w:val="Title3"/>
      </w:pPr>
    </w:p>
    <w:p w14:paraId="789B457E" w14:textId="77777777" w:rsidR="009B6F95" w:rsidRDefault="009B6F95" w:rsidP="007D4715">
      <w:pPr>
        <w:pStyle w:val="Title3"/>
      </w:pPr>
    </w:p>
    <w:p w14:paraId="77C5E3FD" w14:textId="77777777" w:rsidR="009B6F95" w:rsidRDefault="009B6F95" w:rsidP="007D4715">
      <w:pPr>
        <w:pStyle w:val="Title3"/>
      </w:pPr>
    </w:p>
    <w:p w14:paraId="7DC84C6E" w14:textId="77777777" w:rsidR="009B6F95" w:rsidRDefault="009B6F95" w:rsidP="007D4715">
      <w:pPr>
        <w:pStyle w:val="Title3"/>
      </w:pPr>
    </w:p>
    <w:p w14:paraId="08290AFB" w14:textId="77777777" w:rsidR="009B6F95" w:rsidRDefault="009B6F95" w:rsidP="007D4715">
      <w:pPr>
        <w:pStyle w:val="Title3"/>
      </w:pPr>
    </w:p>
    <w:p w14:paraId="2996EBC5" w14:textId="77777777" w:rsidR="009B6F95" w:rsidRDefault="009B6F95" w:rsidP="007D4715">
      <w:pPr>
        <w:pStyle w:val="Title3"/>
      </w:pPr>
    </w:p>
    <w:p w14:paraId="2337F9DE" w14:textId="77777777" w:rsidR="005B6564" w:rsidRDefault="005B6564" w:rsidP="007D4715">
      <w:pPr>
        <w:pStyle w:val="Title3"/>
      </w:pPr>
    </w:p>
    <w:p w14:paraId="0659F67D" w14:textId="4301481B" w:rsidR="00E272FA" w:rsidRPr="007D4715" w:rsidRDefault="00E272FA" w:rsidP="007D4715">
      <w:pPr>
        <w:pStyle w:val="Title3"/>
      </w:pPr>
      <w:r w:rsidRPr="007D4715">
        <w:t>Contact details</w:t>
      </w:r>
    </w:p>
    <w:p w14:paraId="4451C8B1" w14:textId="1E97F8F3" w:rsidR="00E272FA" w:rsidRPr="00B66284" w:rsidRDefault="00E272FA" w:rsidP="00E272FA">
      <w:pPr>
        <w:spacing w:after="120"/>
        <w:rPr>
          <w:sz w:val="24"/>
          <w:szCs w:val="24"/>
        </w:rPr>
      </w:pPr>
      <w:r w:rsidRPr="00B66284">
        <w:rPr>
          <w:sz w:val="24"/>
          <w:szCs w:val="24"/>
        </w:rPr>
        <w:t xml:space="preserve">Contact officer: </w:t>
      </w:r>
      <w:r w:rsidR="00F239FC">
        <w:rPr>
          <w:sz w:val="24"/>
          <w:szCs w:val="24"/>
        </w:rPr>
        <w:t>Naomi Cooke/ Heather Wills</w:t>
      </w:r>
    </w:p>
    <w:p w14:paraId="108CF962" w14:textId="28FAB1CF" w:rsidR="00E272FA" w:rsidRPr="00B66284" w:rsidRDefault="00E272FA" w:rsidP="00E272FA">
      <w:pPr>
        <w:spacing w:after="120"/>
        <w:rPr>
          <w:sz w:val="24"/>
          <w:szCs w:val="24"/>
        </w:rPr>
      </w:pPr>
      <w:r w:rsidRPr="00B66284">
        <w:rPr>
          <w:sz w:val="24"/>
          <w:szCs w:val="24"/>
        </w:rPr>
        <w:t>Position:</w:t>
      </w:r>
      <w:r w:rsidR="00F239FC">
        <w:rPr>
          <w:sz w:val="24"/>
          <w:szCs w:val="24"/>
        </w:rPr>
        <w:t xml:space="preserve"> Head of Workforce/ Principal Adviser (Improvement)</w:t>
      </w:r>
    </w:p>
    <w:p w14:paraId="0B47D83B" w14:textId="69718579" w:rsidR="00E272FA" w:rsidRPr="00B66284" w:rsidRDefault="00E272FA" w:rsidP="00E272FA">
      <w:pPr>
        <w:spacing w:after="120"/>
        <w:rPr>
          <w:sz w:val="24"/>
          <w:szCs w:val="24"/>
        </w:rPr>
      </w:pPr>
      <w:r w:rsidRPr="00B66284">
        <w:rPr>
          <w:sz w:val="24"/>
          <w:szCs w:val="24"/>
        </w:rPr>
        <w:t>Phone no:</w:t>
      </w:r>
      <w:r w:rsidR="009000D1">
        <w:rPr>
          <w:sz w:val="24"/>
          <w:szCs w:val="24"/>
        </w:rPr>
        <w:t xml:space="preserve"> </w:t>
      </w:r>
      <w:r w:rsidR="009000D1" w:rsidRPr="009000D1">
        <w:rPr>
          <w:sz w:val="24"/>
          <w:szCs w:val="24"/>
        </w:rPr>
        <w:t>020</w:t>
      </w:r>
      <w:r w:rsidR="009000D1">
        <w:rPr>
          <w:sz w:val="24"/>
          <w:szCs w:val="24"/>
        </w:rPr>
        <w:t xml:space="preserve"> </w:t>
      </w:r>
      <w:r w:rsidR="009000D1" w:rsidRPr="009000D1">
        <w:rPr>
          <w:sz w:val="24"/>
          <w:szCs w:val="24"/>
        </w:rPr>
        <w:t>7664</w:t>
      </w:r>
      <w:r w:rsidR="009000D1">
        <w:rPr>
          <w:sz w:val="24"/>
          <w:szCs w:val="24"/>
        </w:rPr>
        <w:t xml:space="preserve"> </w:t>
      </w:r>
      <w:r w:rsidR="009000D1" w:rsidRPr="009000D1">
        <w:rPr>
          <w:sz w:val="24"/>
          <w:szCs w:val="24"/>
        </w:rPr>
        <w:t>3299</w:t>
      </w:r>
      <w:r w:rsidRPr="00B66284">
        <w:rPr>
          <w:sz w:val="24"/>
          <w:szCs w:val="24"/>
        </w:rPr>
        <w:t xml:space="preserve"> </w:t>
      </w:r>
      <w:r w:rsidR="00DC5141">
        <w:rPr>
          <w:sz w:val="24"/>
          <w:szCs w:val="24"/>
        </w:rPr>
        <w:t>/ 07770 710188</w:t>
      </w:r>
      <w:r w:rsidRPr="00B66284">
        <w:rPr>
          <w:sz w:val="24"/>
          <w:szCs w:val="24"/>
        </w:rPr>
        <w:t xml:space="preserve"> </w:t>
      </w:r>
    </w:p>
    <w:p w14:paraId="5E3F08AD" w14:textId="59802326"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DC5141" w:rsidRPr="00876E5B">
          <w:rPr>
            <w:rStyle w:val="Hyperlink"/>
            <w:sz w:val="24"/>
            <w:szCs w:val="24"/>
          </w:rPr>
          <w:t>naomi.cooke@local.gov.uk</w:t>
        </w:r>
      </w:hyperlink>
      <w:r w:rsidR="00DC5141" w:rsidRPr="00DC5141">
        <w:rPr>
          <w:rStyle w:val="Hyperlink"/>
          <w:color w:val="auto"/>
          <w:sz w:val="24"/>
          <w:szCs w:val="24"/>
          <w:u w:val="none"/>
        </w:rPr>
        <w:t xml:space="preserve"> / </w:t>
      </w:r>
      <w:hyperlink r:id="rId12" w:history="1">
        <w:r w:rsidR="00DC5141" w:rsidRPr="00876E5B">
          <w:rPr>
            <w:rStyle w:val="Hyperlink"/>
            <w:sz w:val="24"/>
            <w:szCs w:val="24"/>
          </w:rPr>
          <w:t>heather.wills@local.gov.uk</w:t>
        </w:r>
      </w:hyperlink>
    </w:p>
    <w:p w14:paraId="52E4A3B5" w14:textId="77777777" w:rsidR="009C1689" w:rsidRDefault="009C1689">
      <w:pPr>
        <w:spacing w:line="259" w:lineRule="auto"/>
        <w:ind w:left="0" w:firstLine="0"/>
        <w:rPr>
          <w:b/>
          <w:sz w:val="28"/>
        </w:rPr>
      </w:pPr>
      <w:bookmarkStart w:id="0" w:name="_Hlk127962540"/>
      <w:r>
        <w:br w:type="page"/>
      </w:r>
    </w:p>
    <w:p w14:paraId="151FFAA4" w14:textId="3E5EB8CF" w:rsidR="009C1689" w:rsidRDefault="009C1689" w:rsidP="009C1689">
      <w:pPr>
        <w:pStyle w:val="Title1"/>
      </w:pPr>
      <w:r>
        <w:lastRenderedPageBreak/>
        <w:t>Local government workforce capacity update</w:t>
      </w:r>
    </w:p>
    <w:p w14:paraId="2117A921" w14:textId="41CDF43F" w:rsidR="00E272FA" w:rsidRDefault="00E272FA" w:rsidP="00E272FA">
      <w:pPr>
        <w:pStyle w:val="Heading2"/>
      </w:pPr>
      <w:r w:rsidRPr="00AE33E9">
        <w:t>Background</w:t>
      </w:r>
      <w:r>
        <w:t xml:space="preserve"> </w:t>
      </w:r>
      <w:r w:rsidRPr="009E5E45">
        <w:rPr>
          <w:color w:val="C00000"/>
        </w:rPr>
        <w:t xml:space="preserve"> </w:t>
      </w:r>
    </w:p>
    <w:p w14:paraId="23C01661" w14:textId="01C4C8C3" w:rsidR="00E272FA" w:rsidRPr="00CC367D" w:rsidRDefault="009845EE" w:rsidP="00E72B91">
      <w:pPr>
        <w:pStyle w:val="ListParagraph"/>
        <w:numPr>
          <w:ilvl w:val="0"/>
          <w:numId w:val="2"/>
        </w:numPr>
        <w:spacing w:line="300" w:lineRule="atLeast"/>
        <w:contextualSpacing w:val="0"/>
        <w:rPr>
          <w:sz w:val="24"/>
          <w:szCs w:val="24"/>
        </w:rPr>
      </w:pPr>
      <w:r w:rsidRPr="00CC367D">
        <w:rPr>
          <w:sz w:val="24"/>
          <w:szCs w:val="24"/>
        </w:rPr>
        <w:t xml:space="preserve">The February meeting of the Board considered a report setting out the </w:t>
      </w:r>
      <w:r w:rsidR="00845BEF" w:rsidRPr="00CC367D">
        <w:rPr>
          <w:sz w:val="24"/>
          <w:szCs w:val="24"/>
        </w:rPr>
        <w:t xml:space="preserve">workforce capacity </w:t>
      </w:r>
      <w:r w:rsidR="004B42D0" w:rsidRPr="00CC367D">
        <w:rPr>
          <w:sz w:val="24"/>
          <w:szCs w:val="24"/>
        </w:rPr>
        <w:t>challenges which are impacting councils</w:t>
      </w:r>
      <w:r w:rsidR="00845BEF" w:rsidRPr="00CC367D">
        <w:rPr>
          <w:sz w:val="24"/>
          <w:szCs w:val="24"/>
        </w:rPr>
        <w:t xml:space="preserve"> across a wide range of professions and services.  </w:t>
      </w:r>
      <w:r w:rsidR="00D903D3" w:rsidRPr="00CC367D">
        <w:rPr>
          <w:sz w:val="24"/>
          <w:szCs w:val="24"/>
        </w:rPr>
        <w:t xml:space="preserve">Following feedback from the Board and from Executive Advisory Board, officers have been identifying actions that the LGA can take, alongside activity already in train in councils and </w:t>
      </w:r>
      <w:r w:rsidR="0019343F" w:rsidRPr="00CC367D">
        <w:rPr>
          <w:sz w:val="24"/>
          <w:szCs w:val="24"/>
        </w:rPr>
        <w:t>by professional bodies, to address these challenges.</w:t>
      </w:r>
      <w:r w:rsidR="00D903D3" w:rsidRPr="00CC367D">
        <w:rPr>
          <w:sz w:val="24"/>
          <w:szCs w:val="24"/>
        </w:rPr>
        <w:t xml:space="preserve"> </w:t>
      </w:r>
    </w:p>
    <w:p w14:paraId="1B275458" w14:textId="77777777" w:rsidR="00E272FA" w:rsidRDefault="00E272FA" w:rsidP="00E272FA">
      <w:pPr>
        <w:pStyle w:val="Heading2"/>
      </w:pPr>
      <w:r>
        <w:t xml:space="preserve">Proposal </w:t>
      </w:r>
      <w:r w:rsidRPr="009E5E45">
        <w:rPr>
          <w:color w:val="C00000"/>
        </w:rPr>
        <w:t xml:space="preserve"> </w:t>
      </w:r>
    </w:p>
    <w:p w14:paraId="7E53C3F3" w14:textId="77777777" w:rsidR="000A04FC" w:rsidRPr="004F4E27" w:rsidRDefault="000A04FC" w:rsidP="004F4E27">
      <w:pPr>
        <w:spacing w:after="0" w:line="240" w:lineRule="auto"/>
        <w:rPr>
          <w:sz w:val="24"/>
          <w:szCs w:val="24"/>
        </w:rPr>
      </w:pPr>
    </w:p>
    <w:p w14:paraId="048BCB0B" w14:textId="72F06D74" w:rsidR="00454656" w:rsidRDefault="00FE74D2" w:rsidP="00E72B91">
      <w:pPr>
        <w:pStyle w:val="ListParagraph"/>
        <w:numPr>
          <w:ilvl w:val="0"/>
          <w:numId w:val="2"/>
        </w:numPr>
        <w:spacing w:after="0" w:line="240" w:lineRule="auto"/>
        <w:rPr>
          <w:sz w:val="24"/>
          <w:szCs w:val="24"/>
        </w:rPr>
      </w:pPr>
      <w:r>
        <w:rPr>
          <w:sz w:val="24"/>
          <w:szCs w:val="24"/>
        </w:rPr>
        <w:t>Both d</w:t>
      </w:r>
      <w:r w:rsidR="00454656">
        <w:rPr>
          <w:sz w:val="24"/>
          <w:szCs w:val="24"/>
        </w:rPr>
        <w:t xml:space="preserve">emand </w:t>
      </w:r>
      <w:r w:rsidR="003D05B2">
        <w:rPr>
          <w:sz w:val="24"/>
          <w:szCs w:val="24"/>
        </w:rPr>
        <w:t xml:space="preserve">and supply </w:t>
      </w:r>
      <w:r w:rsidR="00454656">
        <w:rPr>
          <w:sz w:val="24"/>
          <w:szCs w:val="24"/>
        </w:rPr>
        <w:t>pressures in many services</w:t>
      </w:r>
      <w:r w:rsidR="00C53B81">
        <w:rPr>
          <w:sz w:val="24"/>
          <w:szCs w:val="24"/>
        </w:rPr>
        <w:t xml:space="preserve"> mean there are insufficient resources to </w:t>
      </w:r>
      <w:r w:rsidR="00A750BB">
        <w:rPr>
          <w:sz w:val="24"/>
          <w:szCs w:val="24"/>
        </w:rPr>
        <w:t>adequately fund staffing establishments</w:t>
      </w:r>
      <w:r w:rsidR="00CD2BBB">
        <w:rPr>
          <w:sz w:val="24"/>
          <w:szCs w:val="24"/>
        </w:rPr>
        <w:t>.  This paper sets out a proposed approach to prioritise activity</w:t>
      </w:r>
      <w:r w:rsidR="00C53B81">
        <w:rPr>
          <w:sz w:val="24"/>
          <w:szCs w:val="24"/>
        </w:rPr>
        <w:t xml:space="preserve"> </w:t>
      </w:r>
      <w:r w:rsidR="007E07B8">
        <w:rPr>
          <w:sz w:val="24"/>
          <w:szCs w:val="24"/>
        </w:rPr>
        <w:t>in the context of limited resources both in councils and in the LGA.</w:t>
      </w:r>
    </w:p>
    <w:p w14:paraId="5273DBED" w14:textId="77777777" w:rsidR="00454656" w:rsidRPr="00454656" w:rsidRDefault="00454656" w:rsidP="00454656">
      <w:pPr>
        <w:spacing w:after="0" w:line="240" w:lineRule="auto"/>
        <w:rPr>
          <w:sz w:val="24"/>
          <w:szCs w:val="24"/>
        </w:rPr>
      </w:pPr>
    </w:p>
    <w:p w14:paraId="2F3CB6FF" w14:textId="19C67094" w:rsidR="00073ED7" w:rsidRPr="00EF79E1" w:rsidRDefault="65E3D0EA" w:rsidP="00E72B91">
      <w:pPr>
        <w:pStyle w:val="ListParagraph"/>
        <w:numPr>
          <w:ilvl w:val="0"/>
          <w:numId w:val="2"/>
        </w:numPr>
        <w:spacing w:after="0" w:line="240" w:lineRule="auto"/>
        <w:rPr>
          <w:sz w:val="24"/>
          <w:szCs w:val="24"/>
        </w:rPr>
      </w:pPr>
      <w:r w:rsidRPr="3A25E056">
        <w:rPr>
          <w:sz w:val="24"/>
          <w:szCs w:val="24"/>
        </w:rPr>
        <w:t xml:space="preserve">The </w:t>
      </w:r>
      <w:hyperlink r:id="rId13">
        <w:r w:rsidRPr="3A25E056">
          <w:rPr>
            <w:rStyle w:val="Hyperlink"/>
            <w:sz w:val="24"/>
            <w:szCs w:val="24"/>
          </w:rPr>
          <w:t>Local Government Workforce Survey 2022</w:t>
        </w:r>
      </w:hyperlink>
      <w:r w:rsidRPr="3A25E056">
        <w:rPr>
          <w:sz w:val="24"/>
          <w:szCs w:val="24"/>
        </w:rPr>
        <w:t xml:space="preserve"> provides the most recent overview of workforce capacity challenges </w:t>
      </w:r>
      <w:r w:rsidR="02EDEB98" w:rsidRPr="3A25E056">
        <w:rPr>
          <w:sz w:val="24"/>
          <w:szCs w:val="24"/>
        </w:rPr>
        <w:t>(</w:t>
      </w:r>
      <w:r w:rsidR="00BF6183">
        <w:rPr>
          <w:sz w:val="24"/>
          <w:szCs w:val="24"/>
        </w:rPr>
        <w:t xml:space="preserve">including </w:t>
      </w:r>
      <w:r w:rsidR="37DDD047" w:rsidRPr="3A25E056">
        <w:rPr>
          <w:sz w:val="24"/>
          <w:szCs w:val="24"/>
        </w:rPr>
        <w:t>recruitment</w:t>
      </w:r>
      <w:r w:rsidR="02EDEB98" w:rsidRPr="3A25E056">
        <w:rPr>
          <w:sz w:val="24"/>
          <w:szCs w:val="24"/>
        </w:rPr>
        <w:t xml:space="preserve"> and retention difficulties</w:t>
      </w:r>
      <w:r w:rsidR="2A3BB00E" w:rsidRPr="3A25E056">
        <w:rPr>
          <w:sz w:val="24"/>
          <w:szCs w:val="24"/>
        </w:rPr>
        <w:t>)</w:t>
      </w:r>
      <w:r w:rsidR="02EDEB98" w:rsidRPr="3A25E056">
        <w:rPr>
          <w:sz w:val="24"/>
          <w:szCs w:val="24"/>
        </w:rPr>
        <w:t xml:space="preserve"> </w:t>
      </w:r>
      <w:r w:rsidRPr="3A25E056">
        <w:rPr>
          <w:sz w:val="24"/>
          <w:szCs w:val="24"/>
        </w:rPr>
        <w:t>being experienced by the sector.  Respondents stated their councils were experiencing the greatest difficulties in relation to the following occupations:</w:t>
      </w:r>
    </w:p>
    <w:p w14:paraId="47452E40" w14:textId="77777777" w:rsidR="00073ED7" w:rsidRPr="00EF79E1" w:rsidRDefault="00073ED7" w:rsidP="00073ED7">
      <w:pPr>
        <w:spacing w:after="0" w:line="240" w:lineRule="auto"/>
        <w:rPr>
          <w:sz w:val="24"/>
          <w:szCs w:val="24"/>
        </w:rPr>
      </w:pPr>
    </w:p>
    <w:tbl>
      <w:tblPr>
        <w:tblStyle w:val="TableGrid"/>
        <w:tblW w:w="9010" w:type="dxa"/>
        <w:tblLayout w:type="fixed"/>
        <w:tblLook w:val="04A0" w:firstRow="1" w:lastRow="0" w:firstColumn="1" w:lastColumn="0" w:noHBand="0" w:noVBand="1"/>
      </w:tblPr>
      <w:tblGrid>
        <w:gridCol w:w="1980"/>
        <w:gridCol w:w="1215"/>
        <w:gridCol w:w="1053"/>
        <w:gridCol w:w="1276"/>
        <w:gridCol w:w="1134"/>
        <w:gridCol w:w="1275"/>
        <w:gridCol w:w="1077"/>
      </w:tblGrid>
      <w:tr w:rsidR="00073ED7" w14:paraId="5E42CB3B" w14:textId="77777777" w:rsidTr="069F535B">
        <w:tc>
          <w:tcPr>
            <w:tcW w:w="1980" w:type="dxa"/>
          </w:tcPr>
          <w:p w14:paraId="440C3061" w14:textId="77777777" w:rsidR="00073ED7" w:rsidRDefault="00073ED7">
            <w:pPr>
              <w:spacing w:line="240" w:lineRule="auto"/>
            </w:pPr>
          </w:p>
        </w:tc>
        <w:tc>
          <w:tcPr>
            <w:tcW w:w="2268" w:type="dxa"/>
            <w:gridSpan w:val="2"/>
          </w:tcPr>
          <w:p w14:paraId="22A8DEFE" w14:textId="77777777" w:rsidR="00073ED7" w:rsidRPr="001A3806" w:rsidRDefault="00073ED7">
            <w:pPr>
              <w:spacing w:line="240" w:lineRule="auto"/>
              <w:jc w:val="center"/>
              <w:rPr>
                <w:b/>
                <w:bCs/>
              </w:rPr>
            </w:pPr>
            <w:r w:rsidRPr="001A3806">
              <w:rPr>
                <w:b/>
                <w:bCs/>
              </w:rPr>
              <w:t xml:space="preserve">Counties, </w:t>
            </w:r>
            <w:proofErr w:type="gramStart"/>
            <w:r w:rsidRPr="001A3806">
              <w:rPr>
                <w:b/>
                <w:bCs/>
              </w:rPr>
              <w:t>districts</w:t>
            </w:r>
            <w:proofErr w:type="gramEnd"/>
            <w:r w:rsidRPr="001A3806">
              <w:rPr>
                <w:b/>
                <w:bCs/>
              </w:rPr>
              <w:t xml:space="preserve"> and single tiers</w:t>
            </w:r>
          </w:p>
        </w:tc>
        <w:tc>
          <w:tcPr>
            <w:tcW w:w="2410" w:type="dxa"/>
            <w:gridSpan w:val="2"/>
          </w:tcPr>
          <w:p w14:paraId="437F8360" w14:textId="77777777" w:rsidR="00073ED7" w:rsidRPr="001A3806" w:rsidRDefault="00073ED7">
            <w:pPr>
              <w:spacing w:line="240" w:lineRule="auto"/>
              <w:jc w:val="center"/>
              <w:rPr>
                <w:b/>
                <w:bCs/>
              </w:rPr>
            </w:pPr>
            <w:r w:rsidRPr="001A3806">
              <w:rPr>
                <w:b/>
                <w:bCs/>
              </w:rPr>
              <w:t>Counties and single tiers</w:t>
            </w:r>
          </w:p>
        </w:tc>
        <w:tc>
          <w:tcPr>
            <w:tcW w:w="2352" w:type="dxa"/>
            <w:gridSpan w:val="2"/>
          </w:tcPr>
          <w:p w14:paraId="0DDFD032" w14:textId="77777777" w:rsidR="00073ED7" w:rsidRPr="001A3806" w:rsidRDefault="00073ED7">
            <w:pPr>
              <w:spacing w:line="240" w:lineRule="auto"/>
              <w:jc w:val="center"/>
              <w:rPr>
                <w:b/>
                <w:bCs/>
              </w:rPr>
            </w:pPr>
            <w:r w:rsidRPr="001A3806">
              <w:rPr>
                <w:b/>
                <w:bCs/>
              </w:rPr>
              <w:t>Districts and single tiers</w:t>
            </w:r>
          </w:p>
        </w:tc>
      </w:tr>
      <w:tr w:rsidR="00073ED7" w14:paraId="65DFD2AF" w14:textId="77777777" w:rsidTr="069F535B">
        <w:tc>
          <w:tcPr>
            <w:tcW w:w="1980" w:type="dxa"/>
          </w:tcPr>
          <w:p w14:paraId="437B71B2" w14:textId="77777777" w:rsidR="00073ED7" w:rsidRDefault="00073ED7">
            <w:pPr>
              <w:spacing w:line="240" w:lineRule="auto"/>
            </w:pPr>
          </w:p>
        </w:tc>
        <w:tc>
          <w:tcPr>
            <w:tcW w:w="1215" w:type="dxa"/>
          </w:tcPr>
          <w:p w14:paraId="71C59CA4" w14:textId="77777777" w:rsidR="00073ED7" w:rsidRPr="005B05B2" w:rsidRDefault="00073ED7">
            <w:pPr>
              <w:spacing w:line="240" w:lineRule="auto"/>
              <w:jc w:val="center"/>
              <w:rPr>
                <w:sz w:val="18"/>
                <w:szCs w:val="18"/>
              </w:rPr>
            </w:pPr>
            <w:r w:rsidRPr="005B05B2">
              <w:rPr>
                <w:sz w:val="18"/>
                <w:szCs w:val="18"/>
              </w:rPr>
              <w:t>Recruitment</w:t>
            </w:r>
          </w:p>
        </w:tc>
        <w:tc>
          <w:tcPr>
            <w:tcW w:w="1053" w:type="dxa"/>
          </w:tcPr>
          <w:p w14:paraId="45173DC2" w14:textId="77777777" w:rsidR="00073ED7" w:rsidRPr="005B05B2" w:rsidRDefault="00073ED7">
            <w:pPr>
              <w:spacing w:line="240" w:lineRule="auto"/>
              <w:jc w:val="center"/>
              <w:rPr>
                <w:sz w:val="18"/>
                <w:szCs w:val="18"/>
              </w:rPr>
            </w:pPr>
            <w:r w:rsidRPr="005B05B2">
              <w:rPr>
                <w:sz w:val="18"/>
                <w:szCs w:val="18"/>
              </w:rPr>
              <w:t>Retention</w:t>
            </w:r>
          </w:p>
        </w:tc>
        <w:tc>
          <w:tcPr>
            <w:tcW w:w="1276" w:type="dxa"/>
          </w:tcPr>
          <w:p w14:paraId="27A910D2" w14:textId="77777777" w:rsidR="00073ED7" w:rsidRPr="005B05B2" w:rsidRDefault="00073ED7">
            <w:pPr>
              <w:spacing w:line="240" w:lineRule="auto"/>
              <w:jc w:val="center"/>
              <w:rPr>
                <w:sz w:val="18"/>
                <w:szCs w:val="18"/>
              </w:rPr>
            </w:pPr>
            <w:r w:rsidRPr="005B05B2">
              <w:rPr>
                <w:sz w:val="18"/>
                <w:szCs w:val="18"/>
              </w:rPr>
              <w:t>Recruitment</w:t>
            </w:r>
          </w:p>
        </w:tc>
        <w:tc>
          <w:tcPr>
            <w:tcW w:w="1134" w:type="dxa"/>
          </w:tcPr>
          <w:p w14:paraId="1BF71DDC" w14:textId="77777777" w:rsidR="00073ED7" w:rsidRPr="005B05B2" w:rsidRDefault="00073ED7">
            <w:pPr>
              <w:spacing w:line="240" w:lineRule="auto"/>
              <w:jc w:val="center"/>
              <w:rPr>
                <w:sz w:val="18"/>
                <w:szCs w:val="18"/>
              </w:rPr>
            </w:pPr>
            <w:r w:rsidRPr="005B05B2">
              <w:rPr>
                <w:sz w:val="18"/>
                <w:szCs w:val="18"/>
              </w:rPr>
              <w:t>Retention</w:t>
            </w:r>
          </w:p>
        </w:tc>
        <w:tc>
          <w:tcPr>
            <w:tcW w:w="1275" w:type="dxa"/>
          </w:tcPr>
          <w:p w14:paraId="72414507" w14:textId="77777777" w:rsidR="00073ED7" w:rsidRPr="005B05B2" w:rsidRDefault="00073ED7">
            <w:pPr>
              <w:spacing w:line="240" w:lineRule="auto"/>
              <w:jc w:val="center"/>
              <w:rPr>
                <w:sz w:val="18"/>
                <w:szCs w:val="18"/>
              </w:rPr>
            </w:pPr>
            <w:r w:rsidRPr="005B05B2">
              <w:rPr>
                <w:sz w:val="18"/>
                <w:szCs w:val="18"/>
              </w:rPr>
              <w:t>Recruitment</w:t>
            </w:r>
          </w:p>
        </w:tc>
        <w:tc>
          <w:tcPr>
            <w:tcW w:w="1077" w:type="dxa"/>
          </w:tcPr>
          <w:p w14:paraId="4D022204" w14:textId="77777777" w:rsidR="00073ED7" w:rsidRPr="005B05B2" w:rsidRDefault="00073ED7">
            <w:pPr>
              <w:spacing w:line="240" w:lineRule="auto"/>
              <w:jc w:val="center"/>
              <w:rPr>
                <w:sz w:val="18"/>
                <w:szCs w:val="18"/>
              </w:rPr>
            </w:pPr>
            <w:r w:rsidRPr="005B05B2">
              <w:rPr>
                <w:sz w:val="18"/>
                <w:szCs w:val="18"/>
              </w:rPr>
              <w:t>Retention</w:t>
            </w:r>
          </w:p>
        </w:tc>
      </w:tr>
      <w:tr w:rsidR="00073ED7" w14:paraId="2338A9FC" w14:textId="77777777" w:rsidTr="069F535B">
        <w:tc>
          <w:tcPr>
            <w:tcW w:w="1980" w:type="dxa"/>
          </w:tcPr>
          <w:p w14:paraId="56A27E9B" w14:textId="77777777" w:rsidR="00073ED7" w:rsidRDefault="00073ED7" w:rsidP="00667978">
            <w:pPr>
              <w:spacing w:line="240" w:lineRule="auto"/>
              <w:ind w:left="0" w:firstLine="0"/>
            </w:pPr>
            <w:r>
              <w:t>Children’s social workers</w:t>
            </w:r>
          </w:p>
        </w:tc>
        <w:tc>
          <w:tcPr>
            <w:tcW w:w="1215" w:type="dxa"/>
          </w:tcPr>
          <w:p w14:paraId="32DFE3E4" w14:textId="77777777" w:rsidR="00073ED7" w:rsidRDefault="00073ED7">
            <w:pPr>
              <w:spacing w:line="240" w:lineRule="auto"/>
              <w:jc w:val="right"/>
            </w:pPr>
          </w:p>
        </w:tc>
        <w:tc>
          <w:tcPr>
            <w:tcW w:w="1053" w:type="dxa"/>
          </w:tcPr>
          <w:p w14:paraId="523664AA" w14:textId="77777777" w:rsidR="00073ED7" w:rsidRDefault="00073ED7">
            <w:pPr>
              <w:spacing w:line="240" w:lineRule="auto"/>
              <w:jc w:val="right"/>
            </w:pPr>
          </w:p>
        </w:tc>
        <w:tc>
          <w:tcPr>
            <w:tcW w:w="1276" w:type="dxa"/>
          </w:tcPr>
          <w:p w14:paraId="0BC0A880" w14:textId="77777777" w:rsidR="00073ED7" w:rsidRDefault="00073ED7">
            <w:pPr>
              <w:spacing w:line="240" w:lineRule="auto"/>
              <w:jc w:val="right"/>
            </w:pPr>
            <w:r>
              <w:t>83%</w:t>
            </w:r>
          </w:p>
        </w:tc>
        <w:tc>
          <w:tcPr>
            <w:tcW w:w="1134" w:type="dxa"/>
          </w:tcPr>
          <w:p w14:paraId="790CE8B3" w14:textId="77777777" w:rsidR="00073ED7" w:rsidRDefault="00073ED7">
            <w:pPr>
              <w:spacing w:line="240" w:lineRule="auto"/>
              <w:jc w:val="right"/>
            </w:pPr>
            <w:r>
              <w:t>72%</w:t>
            </w:r>
          </w:p>
        </w:tc>
        <w:tc>
          <w:tcPr>
            <w:tcW w:w="1275" w:type="dxa"/>
          </w:tcPr>
          <w:p w14:paraId="7F480FB0" w14:textId="77777777" w:rsidR="00073ED7" w:rsidRDefault="00073ED7">
            <w:pPr>
              <w:spacing w:line="240" w:lineRule="auto"/>
              <w:jc w:val="right"/>
            </w:pPr>
          </w:p>
        </w:tc>
        <w:tc>
          <w:tcPr>
            <w:tcW w:w="1077" w:type="dxa"/>
          </w:tcPr>
          <w:p w14:paraId="0A8ECC1A" w14:textId="77777777" w:rsidR="00073ED7" w:rsidRDefault="00073ED7">
            <w:pPr>
              <w:spacing w:line="240" w:lineRule="auto"/>
              <w:jc w:val="right"/>
            </w:pPr>
          </w:p>
        </w:tc>
      </w:tr>
      <w:tr w:rsidR="00073ED7" w14:paraId="026C9E5E" w14:textId="77777777" w:rsidTr="069F535B">
        <w:tc>
          <w:tcPr>
            <w:tcW w:w="1980" w:type="dxa"/>
          </w:tcPr>
          <w:p w14:paraId="4FDDE64A" w14:textId="77777777" w:rsidR="00073ED7" w:rsidRDefault="00073ED7" w:rsidP="00667978">
            <w:pPr>
              <w:spacing w:line="240" w:lineRule="auto"/>
              <w:ind w:left="0" w:firstLine="0"/>
            </w:pPr>
            <w:r>
              <w:t>Adult social workers</w:t>
            </w:r>
          </w:p>
        </w:tc>
        <w:tc>
          <w:tcPr>
            <w:tcW w:w="1215" w:type="dxa"/>
          </w:tcPr>
          <w:p w14:paraId="0ED87223" w14:textId="77777777" w:rsidR="00073ED7" w:rsidRDefault="00073ED7">
            <w:pPr>
              <w:spacing w:line="240" w:lineRule="auto"/>
              <w:jc w:val="right"/>
            </w:pPr>
          </w:p>
        </w:tc>
        <w:tc>
          <w:tcPr>
            <w:tcW w:w="1053" w:type="dxa"/>
          </w:tcPr>
          <w:p w14:paraId="209F669C" w14:textId="77777777" w:rsidR="00073ED7" w:rsidRDefault="00073ED7">
            <w:pPr>
              <w:spacing w:line="240" w:lineRule="auto"/>
              <w:jc w:val="right"/>
            </w:pPr>
          </w:p>
        </w:tc>
        <w:tc>
          <w:tcPr>
            <w:tcW w:w="1276" w:type="dxa"/>
          </w:tcPr>
          <w:p w14:paraId="1E302380" w14:textId="77777777" w:rsidR="00073ED7" w:rsidRDefault="00073ED7">
            <w:pPr>
              <w:spacing w:line="240" w:lineRule="auto"/>
              <w:jc w:val="right"/>
            </w:pPr>
            <w:r>
              <w:t>71%</w:t>
            </w:r>
          </w:p>
        </w:tc>
        <w:tc>
          <w:tcPr>
            <w:tcW w:w="1134" w:type="dxa"/>
          </w:tcPr>
          <w:p w14:paraId="37CE9B26" w14:textId="77777777" w:rsidR="00073ED7" w:rsidRDefault="00073ED7">
            <w:pPr>
              <w:spacing w:line="240" w:lineRule="auto"/>
              <w:jc w:val="right"/>
            </w:pPr>
            <w:r>
              <w:t>57%</w:t>
            </w:r>
          </w:p>
        </w:tc>
        <w:tc>
          <w:tcPr>
            <w:tcW w:w="1275" w:type="dxa"/>
          </w:tcPr>
          <w:p w14:paraId="0C22DCBF" w14:textId="77777777" w:rsidR="00073ED7" w:rsidRDefault="00073ED7">
            <w:pPr>
              <w:spacing w:line="240" w:lineRule="auto"/>
              <w:jc w:val="right"/>
            </w:pPr>
          </w:p>
        </w:tc>
        <w:tc>
          <w:tcPr>
            <w:tcW w:w="1077" w:type="dxa"/>
          </w:tcPr>
          <w:p w14:paraId="307B39FE" w14:textId="77777777" w:rsidR="00073ED7" w:rsidRDefault="00073ED7">
            <w:pPr>
              <w:spacing w:line="240" w:lineRule="auto"/>
              <w:jc w:val="right"/>
            </w:pPr>
          </w:p>
        </w:tc>
      </w:tr>
      <w:tr w:rsidR="00073ED7" w14:paraId="4DB18FF6" w14:textId="77777777" w:rsidTr="069F535B">
        <w:tc>
          <w:tcPr>
            <w:tcW w:w="1980" w:type="dxa"/>
          </w:tcPr>
          <w:p w14:paraId="1C042E81" w14:textId="77777777" w:rsidR="00073ED7" w:rsidRDefault="00073ED7" w:rsidP="00667978">
            <w:pPr>
              <w:spacing w:line="240" w:lineRule="auto"/>
              <w:ind w:left="0" w:firstLine="0"/>
            </w:pPr>
            <w:r>
              <w:t>Adult care workers</w:t>
            </w:r>
          </w:p>
        </w:tc>
        <w:tc>
          <w:tcPr>
            <w:tcW w:w="1215" w:type="dxa"/>
          </w:tcPr>
          <w:p w14:paraId="6778C0BD" w14:textId="77777777" w:rsidR="00073ED7" w:rsidRDefault="00073ED7">
            <w:pPr>
              <w:spacing w:line="240" w:lineRule="auto"/>
              <w:jc w:val="right"/>
            </w:pPr>
          </w:p>
        </w:tc>
        <w:tc>
          <w:tcPr>
            <w:tcW w:w="1053" w:type="dxa"/>
          </w:tcPr>
          <w:p w14:paraId="1E86F425" w14:textId="77777777" w:rsidR="00073ED7" w:rsidRDefault="00073ED7">
            <w:pPr>
              <w:spacing w:line="240" w:lineRule="auto"/>
              <w:jc w:val="right"/>
            </w:pPr>
          </w:p>
        </w:tc>
        <w:tc>
          <w:tcPr>
            <w:tcW w:w="1276" w:type="dxa"/>
          </w:tcPr>
          <w:p w14:paraId="3A50EEFB" w14:textId="77777777" w:rsidR="00073ED7" w:rsidRDefault="00073ED7">
            <w:pPr>
              <w:spacing w:line="240" w:lineRule="auto"/>
              <w:jc w:val="right"/>
            </w:pPr>
            <w:r>
              <w:t>63%</w:t>
            </w:r>
          </w:p>
        </w:tc>
        <w:tc>
          <w:tcPr>
            <w:tcW w:w="1134" w:type="dxa"/>
          </w:tcPr>
          <w:p w14:paraId="4DECEE39" w14:textId="77777777" w:rsidR="00073ED7" w:rsidRDefault="00073ED7">
            <w:pPr>
              <w:spacing w:line="240" w:lineRule="auto"/>
              <w:jc w:val="right"/>
            </w:pPr>
            <w:r>
              <w:t>52%</w:t>
            </w:r>
          </w:p>
        </w:tc>
        <w:tc>
          <w:tcPr>
            <w:tcW w:w="1275" w:type="dxa"/>
          </w:tcPr>
          <w:p w14:paraId="157BCEC9" w14:textId="77777777" w:rsidR="00073ED7" w:rsidRDefault="00073ED7">
            <w:pPr>
              <w:spacing w:line="240" w:lineRule="auto"/>
              <w:jc w:val="right"/>
            </w:pPr>
          </w:p>
        </w:tc>
        <w:tc>
          <w:tcPr>
            <w:tcW w:w="1077" w:type="dxa"/>
          </w:tcPr>
          <w:p w14:paraId="49B8B2D6" w14:textId="77777777" w:rsidR="00073ED7" w:rsidRDefault="00073ED7">
            <w:pPr>
              <w:spacing w:line="240" w:lineRule="auto"/>
              <w:jc w:val="right"/>
            </w:pPr>
          </w:p>
        </w:tc>
      </w:tr>
      <w:tr w:rsidR="00073ED7" w14:paraId="098AFC1D" w14:textId="77777777" w:rsidTr="069F535B">
        <w:tc>
          <w:tcPr>
            <w:tcW w:w="1980" w:type="dxa"/>
          </w:tcPr>
          <w:p w14:paraId="2FECB080" w14:textId="77777777" w:rsidR="00073ED7" w:rsidRDefault="00073ED7" w:rsidP="00667978">
            <w:pPr>
              <w:spacing w:line="240" w:lineRule="auto"/>
              <w:ind w:left="0" w:firstLine="0"/>
            </w:pPr>
            <w:r>
              <w:t>Mental health social workers</w:t>
            </w:r>
          </w:p>
        </w:tc>
        <w:tc>
          <w:tcPr>
            <w:tcW w:w="1215" w:type="dxa"/>
          </w:tcPr>
          <w:p w14:paraId="263BFA10" w14:textId="77777777" w:rsidR="00073ED7" w:rsidRDefault="00073ED7">
            <w:pPr>
              <w:spacing w:line="240" w:lineRule="auto"/>
              <w:jc w:val="right"/>
            </w:pPr>
          </w:p>
        </w:tc>
        <w:tc>
          <w:tcPr>
            <w:tcW w:w="1053" w:type="dxa"/>
          </w:tcPr>
          <w:p w14:paraId="65F5104D" w14:textId="77777777" w:rsidR="00073ED7" w:rsidRDefault="00073ED7">
            <w:pPr>
              <w:spacing w:line="240" w:lineRule="auto"/>
              <w:jc w:val="right"/>
            </w:pPr>
          </w:p>
        </w:tc>
        <w:tc>
          <w:tcPr>
            <w:tcW w:w="1276" w:type="dxa"/>
          </w:tcPr>
          <w:p w14:paraId="057F47AC" w14:textId="77777777" w:rsidR="00073ED7" w:rsidRDefault="00073ED7">
            <w:pPr>
              <w:spacing w:line="240" w:lineRule="auto"/>
              <w:jc w:val="right"/>
            </w:pPr>
            <w:r>
              <w:t>60%</w:t>
            </w:r>
          </w:p>
        </w:tc>
        <w:tc>
          <w:tcPr>
            <w:tcW w:w="1134" w:type="dxa"/>
          </w:tcPr>
          <w:p w14:paraId="7EED41F6" w14:textId="77777777" w:rsidR="00073ED7" w:rsidRDefault="00073ED7">
            <w:pPr>
              <w:spacing w:line="240" w:lineRule="auto"/>
              <w:jc w:val="right"/>
            </w:pPr>
            <w:r>
              <w:t>45%</w:t>
            </w:r>
          </w:p>
        </w:tc>
        <w:tc>
          <w:tcPr>
            <w:tcW w:w="1275" w:type="dxa"/>
          </w:tcPr>
          <w:p w14:paraId="6F086836" w14:textId="77777777" w:rsidR="00073ED7" w:rsidRDefault="00073ED7">
            <w:pPr>
              <w:spacing w:line="240" w:lineRule="auto"/>
              <w:jc w:val="right"/>
            </w:pPr>
          </w:p>
        </w:tc>
        <w:tc>
          <w:tcPr>
            <w:tcW w:w="1077" w:type="dxa"/>
          </w:tcPr>
          <w:p w14:paraId="3092C48C" w14:textId="77777777" w:rsidR="00073ED7" w:rsidRDefault="00073ED7">
            <w:pPr>
              <w:spacing w:line="240" w:lineRule="auto"/>
              <w:jc w:val="right"/>
            </w:pPr>
          </w:p>
        </w:tc>
      </w:tr>
      <w:tr w:rsidR="00073ED7" w14:paraId="741676F6" w14:textId="77777777" w:rsidTr="069F535B">
        <w:tc>
          <w:tcPr>
            <w:tcW w:w="1980" w:type="dxa"/>
          </w:tcPr>
          <w:p w14:paraId="33F6A26D" w14:textId="77777777" w:rsidR="00073ED7" w:rsidRDefault="00073ED7" w:rsidP="00667978">
            <w:pPr>
              <w:spacing w:line="240" w:lineRule="auto"/>
              <w:ind w:left="0" w:firstLine="0"/>
            </w:pPr>
            <w:r>
              <w:t>Planning officers</w:t>
            </w:r>
          </w:p>
        </w:tc>
        <w:tc>
          <w:tcPr>
            <w:tcW w:w="1215" w:type="dxa"/>
          </w:tcPr>
          <w:p w14:paraId="17C20ACA" w14:textId="77777777" w:rsidR="00073ED7" w:rsidRDefault="00073ED7">
            <w:pPr>
              <w:spacing w:line="240" w:lineRule="auto"/>
              <w:jc w:val="right"/>
            </w:pPr>
            <w:r>
              <w:t>58%</w:t>
            </w:r>
          </w:p>
        </w:tc>
        <w:tc>
          <w:tcPr>
            <w:tcW w:w="1053" w:type="dxa"/>
          </w:tcPr>
          <w:p w14:paraId="0A249D09" w14:textId="77777777" w:rsidR="00073ED7" w:rsidRDefault="00073ED7">
            <w:pPr>
              <w:spacing w:line="240" w:lineRule="auto"/>
              <w:jc w:val="right"/>
            </w:pPr>
            <w:r>
              <w:t>36%</w:t>
            </w:r>
          </w:p>
        </w:tc>
        <w:tc>
          <w:tcPr>
            <w:tcW w:w="1276" w:type="dxa"/>
          </w:tcPr>
          <w:p w14:paraId="39A917D8" w14:textId="77777777" w:rsidR="00073ED7" w:rsidRDefault="00073ED7">
            <w:pPr>
              <w:spacing w:line="240" w:lineRule="auto"/>
              <w:jc w:val="right"/>
            </w:pPr>
          </w:p>
        </w:tc>
        <w:tc>
          <w:tcPr>
            <w:tcW w:w="1134" w:type="dxa"/>
          </w:tcPr>
          <w:p w14:paraId="27048E70" w14:textId="77777777" w:rsidR="00073ED7" w:rsidRDefault="00073ED7">
            <w:pPr>
              <w:spacing w:line="240" w:lineRule="auto"/>
              <w:jc w:val="right"/>
            </w:pPr>
          </w:p>
        </w:tc>
        <w:tc>
          <w:tcPr>
            <w:tcW w:w="1275" w:type="dxa"/>
          </w:tcPr>
          <w:p w14:paraId="74D937C6" w14:textId="77777777" w:rsidR="00073ED7" w:rsidRDefault="00073ED7">
            <w:pPr>
              <w:spacing w:line="240" w:lineRule="auto"/>
              <w:jc w:val="right"/>
            </w:pPr>
          </w:p>
        </w:tc>
        <w:tc>
          <w:tcPr>
            <w:tcW w:w="1077" w:type="dxa"/>
          </w:tcPr>
          <w:p w14:paraId="4C3DA602" w14:textId="77777777" w:rsidR="00073ED7" w:rsidRDefault="00073ED7">
            <w:pPr>
              <w:spacing w:line="240" w:lineRule="auto"/>
              <w:jc w:val="right"/>
            </w:pPr>
          </w:p>
        </w:tc>
      </w:tr>
      <w:tr w:rsidR="00073ED7" w14:paraId="7CFFF5A8" w14:textId="77777777" w:rsidTr="069F535B">
        <w:tc>
          <w:tcPr>
            <w:tcW w:w="1980" w:type="dxa"/>
          </w:tcPr>
          <w:p w14:paraId="1CDEAC36" w14:textId="77777777" w:rsidR="00073ED7" w:rsidRDefault="00073ED7" w:rsidP="00667978">
            <w:pPr>
              <w:spacing w:line="240" w:lineRule="auto"/>
              <w:ind w:left="0" w:firstLine="0"/>
            </w:pPr>
            <w:r>
              <w:t>Legal professionals</w:t>
            </w:r>
          </w:p>
        </w:tc>
        <w:tc>
          <w:tcPr>
            <w:tcW w:w="1215" w:type="dxa"/>
          </w:tcPr>
          <w:p w14:paraId="25815C60" w14:textId="77777777" w:rsidR="00073ED7" w:rsidRDefault="00073ED7">
            <w:pPr>
              <w:spacing w:line="240" w:lineRule="auto"/>
              <w:jc w:val="right"/>
            </w:pPr>
            <w:r>
              <w:t>53%</w:t>
            </w:r>
          </w:p>
        </w:tc>
        <w:tc>
          <w:tcPr>
            <w:tcW w:w="1053" w:type="dxa"/>
          </w:tcPr>
          <w:p w14:paraId="6EC190A9" w14:textId="77777777" w:rsidR="00073ED7" w:rsidRDefault="00073ED7">
            <w:pPr>
              <w:spacing w:line="240" w:lineRule="auto"/>
              <w:jc w:val="right"/>
            </w:pPr>
            <w:r>
              <w:t>29%</w:t>
            </w:r>
          </w:p>
        </w:tc>
        <w:tc>
          <w:tcPr>
            <w:tcW w:w="1276" w:type="dxa"/>
          </w:tcPr>
          <w:p w14:paraId="12D78FAB" w14:textId="77777777" w:rsidR="00073ED7" w:rsidRDefault="00073ED7">
            <w:pPr>
              <w:spacing w:line="240" w:lineRule="auto"/>
              <w:jc w:val="right"/>
            </w:pPr>
          </w:p>
        </w:tc>
        <w:tc>
          <w:tcPr>
            <w:tcW w:w="1134" w:type="dxa"/>
          </w:tcPr>
          <w:p w14:paraId="72AF58BA" w14:textId="77777777" w:rsidR="00073ED7" w:rsidRDefault="00073ED7">
            <w:pPr>
              <w:spacing w:line="240" w:lineRule="auto"/>
              <w:jc w:val="right"/>
            </w:pPr>
          </w:p>
        </w:tc>
        <w:tc>
          <w:tcPr>
            <w:tcW w:w="1275" w:type="dxa"/>
          </w:tcPr>
          <w:p w14:paraId="4BEBCDF5" w14:textId="77777777" w:rsidR="00073ED7" w:rsidRDefault="00073ED7">
            <w:pPr>
              <w:spacing w:line="240" w:lineRule="auto"/>
              <w:jc w:val="right"/>
            </w:pPr>
          </w:p>
        </w:tc>
        <w:tc>
          <w:tcPr>
            <w:tcW w:w="1077" w:type="dxa"/>
          </w:tcPr>
          <w:p w14:paraId="3049098B" w14:textId="77777777" w:rsidR="00073ED7" w:rsidRDefault="00073ED7">
            <w:pPr>
              <w:spacing w:line="240" w:lineRule="auto"/>
              <w:jc w:val="right"/>
            </w:pPr>
          </w:p>
        </w:tc>
      </w:tr>
      <w:tr w:rsidR="00073ED7" w14:paraId="125F7EAF" w14:textId="77777777" w:rsidTr="069F535B">
        <w:tc>
          <w:tcPr>
            <w:tcW w:w="1980" w:type="dxa"/>
          </w:tcPr>
          <w:p w14:paraId="028017E9" w14:textId="77777777" w:rsidR="00073ED7" w:rsidRDefault="00073ED7" w:rsidP="00667978">
            <w:pPr>
              <w:spacing w:line="240" w:lineRule="auto"/>
              <w:ind w:left="0" w:firstLine="0"/>
            </w:pPr>
            <w:r>
              <w:t>Environmental health officers</w:t>
            </w:r>
          </w:p>
        </w:tc>
        <w:tc>
          <w:tcPr>
            <w:tcW w:w="1215" w:type="dxa"/>
          </w:tcPr>
          <w:p w14:paraId="0721EC16" w14:textId="77777777" w:rsidR="00073ED7" w:rsidRDefault="00073ED7">
            <w:pPr>
              <w:spacing w:line="240" w:lineRule="auto"/>
              <w:jc w:val="right"/>
            </w:pPr>
          </w:p>
        </w:tc>
        <w:tc>
          <w:tcPr>
            <w:tcW w:w="1053" w:type="dxa"/>
          </w:tcPr>
          <w:p w14:paraId="3B6AC270" w14:textId="77777777" w:rsidR="00073ED7" w:rsidRDefault="00073ED7">
            <w:pPr>
              <w:spacing w:line="240" w:lineRule="auto"/>
              <w:jc w:val="right"/>
            </w:pPr>
          </w:p>
        </w:tc>
        <w:tc>
          <w:tcPr>
            <w:tcW w:w="1276" w:type="dxa"/>
          </w:tcPr>
          <w:p w14:paraId="09B2273C" w14:textId="77777777" w:rsidR="00073ED7" w:rsidRDefault="00073ED7">
            <w:pPr>
              <w:spacing w:line="240" w:lineRule="auto"/>
              <w:jc w:val="right"/>
            </w:pPr>
          </w:p>
        </w:tc>
        <w:tc>
          <w:tcPr>
            <w:tcW w:w="1134" w:type="dxa"/>
          </w:tcPr>
          <w:p w14:paraId="1297EA36" w14:textId="77777777" w:rsidR="00073ED7" w:rsidRDefault="00073ED7">
            <w:pPr>
              <w:spacing w:line="240" w:lineRule="auto"/>
              <w:jc w:val="right"/>
            </w:pPr>
          </w:p>
        </w:tc>
        <w:tc>
          <w:tcPr>
            <w:tcW w:w="1275" w:type="dxa"/>
          </w:tcPr>
          <w:p w14:paraId="6900E30B" w14:textId="77777777" w:rsidR="00073ED7" w:rsidRDefault="00073ED7">
            <w:pPr>
              <w:spacing w:line="240" w:lineRule="auto"/>
              <w:jc w:val="right"/>
            </w:pPr>
            <w:r>
              <w:t>45%</w:t>
            </w:r>
          </w:p>
        </w:tc>
        <w:tc>
          <w:tcPr>
            <w:tcW w:w="1077" w:type="dxa"/>
          </w:tcPr>
          <w:p w14:paraId="62131D7F" w14:textId="77777777" w:rsidR="00073ED7" w:rsidRDefault="00073ED7">
            <w:pPr>
              <w:spacing w:line="240" w:lineRule="auto"/>
              <w:jc w:val="right"/>
            </w:pPr>
            <w:r>
              <w:t>18%</w:t>
            </w:r>
          </w:p>
        </w:tc>
      </w:tr>
      <w:tr w:rsidR="00073ED7" w14:paraId="7CAA277B" w14:textId="77777777" w:rsidTr="069F535B">
        <w:tc>
          <w:tcPr>
            <w:tcW w:w="1980" w:type="dxa"/>
          </w:tcPr>
          <w:p w14:paraId="748BC87A" w14:textId="77777777" w:rsidR="00073ED7" w:rsidRDefault="00073ED7" w:rsidP="00667978">
            <w:pPr>
              <w:spacing w:line="240" w:lineRule="auto"/>
              <w:ind w:left="0" w:firstLine="0"/>
            </w:pPr>
            <w:r>
              <w:t>ICT professionals</w:t>
            </w:r>
          </w:p>
        </w:tc>
        <w:tc>
          <w:tcPr>
            <w:tcW w:w="1215" w:type="dxa"/>
          </w:tcPr>
          <w:p w14:paraId="3196E669" w14:textId="77777777" w:rsidR="00073ED7" w:rsidRDefault="00073ED7">
            <w:pPr>
              <w:spacing w:line="240" w:lineRule="auto"/>
              <w:jc w:val="right"/>
            </w:pPr>
            <w:r>
              <w:t>43%</w:t>
            </w:r>
          </w:p>
        </w:tc>
        <w:tc>
          <w:tcPr>
            <w:tcW w:w="1053" w:type="dxa"/>
          </w:tcPr>
          <w:p w14:paraId="051207D0" w14:textId="77777777" w:rsidR="00073ED7" w:rsidRDefault="00073ED7">
            <w:pPr>
              <w:spacing w:line="240" w:lineRule="auto"/>
              <w:jc w:val="right"/>
            </w:pPr>
            <w:r>
              <w:t>29%</w:t>
            </w:r>
          </w:p>
        </w:tc>
        <w:tc>
          <w:tcPr>
            <w:tcW w:w="1276" w:type="dxa"/>
          </w:tcPr>
          <w:p w14:paraId="1FC27CD9" w14:textId="77777777" w:rsidR="00073ED7" w:rsidRDefault="00073ED7">
            <w:pPr>
              <w:spacing w:line="240" w:lineRule="auto"/>
              <w:jc w:val="right"/>
            </w:pPr>
          </w:p>
        </w:tc>
        <w:tc>
          <w:tcPr>
            <w:tcW w:w="1134" w:type="dxa"/>
          </w:tcPr>
          <w:p w14:paraId="033C52D9" w14:textId="77777777" w:rsidR="00073ED7" w:rsidRDefault="00073ED7">
            <w:pPr>
              <w:spacing w:line="240" w:lineRule="auto"/>
              <w:jc w:val="right"/>
            </w:pPr>
          </w:p>
        </w:tc>
        <w:tc>
          <w:tcPr>
            <w:tcW w:w="1275" w:type="dxa"/>
          </w:tcPr>
          <w:p w14:paraId="3C430348" w14:textId="77777777" w:rsidR="00073ED7" w:rsidRDefault="00073ED7">
            <w:pPr>
              <w:spacing w:line="240" w:lineRule="auto"/>
              <w:jc w:val="right"/>
            </w:pPr>
          </w:p>
        </w:tc>
        <w:tc>
          <w:tcPr>
            <w:tcW w:w="1077" w:type="dxa"/>
          </w:tcPr>
          <w:p w14:paraId="71E1C0B0" w14:textId="77777777" w:rsidR="00073ED7" w:rsidRDefault="00073ED7">
            <w:pPr>
              <w:spacing w:line="240" w:lineRule="auto"/>
              <w:jc w:val="right"/>
            </w:pPr>
          </w:p>
        </w:tc>
      </w:tr>
      <w:tr w:rsidR="00073ED7" w14:paraId="0262A034" w14:textId="77777777" w:rsidTr="069F535B">
        <w:tc>
          <w:tcPr>
            <w:tcW w:w="1980" w:type="dxa"/>
          </w:tcPr>
          <w:p w14:paraId="26B98A27" w14:textId="77777777" w:rsidR="00073ED7" w:rsidRDefault="00073ED7" w:rsidP="00667978">
            <w:pPr>
              <w:spacing w:line="240" w:lineRule="auto"/>
              <w:ind w:left="0" w:firstLine="0"/>
            </w:pPr>
            <w:r>
              <w:t>Building control officers</w:t>
            </w:r>
          </w:p>
        </w:tc>
        <w:tc>
          <w:tcPr>
            <w:tcW w:w="1215" w:type="dxa"/>
          </w:tcPr>
          <w:p w14:paraId="36F5C65F" w14:textId="77777777" w:rsidR="00073ED7" w:rsidRDefault="00073ED7">
            <w:pPr>
              <w:spacing w:line="240" w:lineRule="auto"/>
              <w:jc w:val="right"/>
            </w:pPr>
          </w:p>
        </w:tc>
        <w:tc>
          <w:tcPr>
            <w:tcW w:w="1053" w:type="dxa"/>
          </w:tcPr>
          <w:p w14:paraId="0DC7F9F0" w14:textId="77777777" w:rsidR="00073ED7" w:rsidRDefault="00073ED7">
            <w:pPr>
              <w:spacing w:line="240" w:lineRule="auto"/>
              <w:jc w:val="right"/>
            </w:pPr>
          </w:p>
        </w:tc>
        <w:tc>
          <w:tcPr>
            <w:tcW w:w="1276" w:type="dxa"/>
          </w:tcPr>
          <w:p w14:paraId="4BCC3458" w14:textId="77777777" w:rsidR="00073ED7" w:rsidRDefault="00073ED7">
            <w:pPr>
              <w:spacing w:line="240" w:lineRule="auto"/>
              <w:jc w:val="right"/>
            </w:pPr>
          </w:p>
        </w:tc>
        <w:tc>
          <w:tcPr>
            <w:tcW w:w="1134" w:type="dxa"/>
          </w:tcPr>
          <w:p w14:paraId="7400EABC" w14:textId="77777777" w:rsidR="00073ED7" w:rsidRDefault="00073ED7">
            <w:pPr>
              <w:spacing w:line="240" w:lineRule="auto"/>
              <w:jc w:val="right"/>
            </w:pPr>
          </w:p>
        </w:tc>
        <w:tc>
          <w:tcPr>
            <w:tcW w:w="1275" w:type="dxa"/>
          </w:tcPr>
          <w:p w14:paraId="623A152C" w14:textId="77777777" w:rsidR="00073ED7" w:rsidRDefault="00073ED7">
            <w:pPr>
              <w:spacing w:line="240" w:lineRule="auto"/>
              <w:jc w:val="right"/>
            </w:pPr>
            <w:r>
              <w:t>43%</w:t>
            </w:r>
          </w:p>
        </w:tc>
        <w:tc>
          <w:tcPr>
            <w:tcW w:w="1077" w:type="dxa"/>
          </w:tcPr>
          <w:p w14:paraId="694B21F5" w14:textId="77777777" w:rsidR="00073ED7" w:rsidRDefault="00073ED7">
            <w:pPr>
              <w:spacing w:line="240" w:lineRule="auto"/>
              <w:jc w:val="right"/>
            </w:pPr>
            <w:r>
              <w:t>21%</w:t>
            </w:r>
          </w:p>
        </w:tc>
      </w:tr>
    </w:tbl>
    <w:p w14:paraId="1CA8A975" w14:textId="77777777" w:rsidR="00073ED7" w:rsidRPr="00105DF0" w:rsidRDefault="00073ED7" w:rsidP="00073ED7">
      <w:pPr>
        <w:spacing w:after="0" w:line="240" w:lineRule="auto"/>
        <w:rPr>
          <w:sz w:val="24"/>
          <w:szCs w:val="24"/>
        </w:rPr>
      </w:pPr>
    </w:p>
    <w:p w14:paraId="0D79BAB0" w14:textId="77777777" w:rsidR="00073ED7" w:rsidRDefault="00073ED7" w:rsidP="00105DF0">
      <w:pPr>
        <w:spacing w:after="0" w:line="240" w:lineRule="auto"/>
        <w:ind w:firstLine="0"/>
      </w:pPr>
      <w:r w:rsidRPr="00105DF0">
        <w:rPr>
          <w:sz w:val="24"/>
          <w:szCs w:val="24"/>
        </w:rPr>
        <w:lastRenderedPageBreak/>
        <w:t xml:space="preserve">These responses are consistent with </w:t>
      </w:r>
      <w:proofErr w:type="gramStart"/>
      <w:r w:rsidRPr="00105DF0">
        <w:rPr>
          <w:sz w:val="24"/>
          <w:szCs w:val="24"/>
        </w:rPr>
        <w:t>other</w:t>
      </w:r>
      <w:proofErr w:type="gramEnd"/>
      <w:r w:rsidRPr="00105DF0">
        <w:rPr>
          <w:sz w:val="24"/>
          <w:szCs w:val="24"/>
        </w:rPr>
        <w:t xml:space="preserve"> published research.</w:t>
      </w:r>
    </w:p>
    <w:p w14:paraId="11FB9981" w14:textId="77777777" w:rsidR="00073ED7" w:rsidRDefault="00073ED7" w:rsidP="00073ED7">
      <w:pPr>
        <w:spacing w:after="0" w:line="240" w:lineRule="auto"/>
      </w:pPr>
    </w:p>
    <w:p w14:paraId="7C3C99BD" w14:textId="64F1F13A" w:rsidR="00073ED7" w:rsidRPr="000B535C" w:rsidRDefault="00634E1D" w:rsidP="00E72B91">
      <w:pPr>
        <w:pStyle w:val="ListParagraph"/>
        <w:numPr>
          <w:ilvl w:val="0"/>
          <w:numId w:val="2"/>
        </w:numPr>
        <w:spacing w:after="0" w:line="240" w:lineRule="auto"/>
        <w:rPr>
          <w:rFonts w:cs="Arial"/>
          <w:sz w:val="24"/>
          <w:szCs w:val="24"/>
        </w:rPr>
      </w:pPr>
      <w:r>
        <w:rPr>
          <w:rFonts w:cs="Arial"/>
          <w:sz w:val="24"/>
          <w:szCs w:val="24"/>
        </w:rPr>
        <w:t>The plan which appears at Appendix A</w:t>
      </w:r>
      <w:r w:rsidR="00073ED7" w:rsidRPr="000B535C">
        <w:rPr>
          <w:rFonts w:cs="Arial"/>
          <w:sz w:val="24"/>
          <w:szCs w:val="24"/>
        </w:rPr>
        <w:t xml:space="preserve"> therefore focuses on activities to address the workforce capacity challenge in the following priority areas:</w:t>
      </w:r>
    </w:p>
    <w:p w14:paraId="3BE2EA7C" w14:textId="33A997C5" w:rsidR="00073ED7" w:rsidRPr="00D007DF" w:rsidRDefault="00073ED7" w:rsidP="00E72B91">
      <w:pPr>
        <w:pStyle w:val="ListParagraph"/>
        <w:widowControl w:val="0"/>
        <w:numPr>
          <w:ilvl w:val="0"/>
          <w:numId w:val="5"/>
        </w:numPr>
        <w:spacing w:after="0" w:line="240" w:lineRule="auto"/>
        <w:rPr>
          <w:rFonts w:cs="Arial"/>
          <w:sz w:val="24"/>
          <w:szCs w:val="24"/>
        </w:rPr>
      </w:pPr>
      <w:r w:rsidRPr="00D007DF">
        <w:rPr>
          <w:rFonts w:cs="Arial"/>
          <w:sz w:val="24"/>
          <w:szCs w:val="24"/>
        </w:rPr>
        <w:t>Children’s social workers</w:t>
      </w:r>
    </w:p>
    <w:p w14:paraId="0B4A7696"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Adult and mental health social workers</w:t>
      </w:r>
    </w:p>
    <w:p w14:paraId="42B3FC4F"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Adult care workers</w:t>
      </w:r>
    </w:p>
    <w:p w14:paraId="0DE335CC"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Planning officers</w:t>
      </w:r>
    </w:p>
    <w:p w14:paraId="60939771"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Legal professionals</w:t>
      </w:r>
    </w:p>
    <w:p w14:paraId="1925BD12"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Environmental health officers</w:t>
      </w:r>
    </w:p>
    <w:p w14:paraId="57D3080C"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ICT professionals</w:t>
      </w:r>
    </w:p>
    <w:p w14:paraId="55E88A27"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Building control officers</w:t>
      </w:r>
    </w:p>
    <w:p w14:paraId="5508D32F" w14:textId="77777777" w:rsidR="00073ED7" w:rsidRPr="000B535C" w:rsidRDefault="00073ED7" w:rsidP="00905434">
      <w:pPr>
        <w:spacing w:after="0" w:line="240" w:lineRule="auto"/>
        <w:ind w:left="426" w:firstLine="0"/>
        <w:rPr>
          <w:rFonts w:cs="Arial"/>
          <w:sz w:val="24"/>
          <w:szCs w:val="24"/>
        </w:rPr>
      </w:pPr>
      <w:r w:rsidRPr="000B535C">
        <w:rPr>
          <w:rFonts w:cs="Arial"/>
          <w:sz w:val="24"/>
          <w:szCs w:val="24"/>
        </w:rPr>
        <w:t>There are also activities to be taken on a system-wide basis.</w:t>
      </w:r>
    </w:p>
    <w:p w14:paraId="4E9A83D2" w14:textId="77777777" w:rsidR="00073ED7" w:rsidRPr="000B535C" w:rsidRDefault="00073ED7" w:rsidP="00073ED7">
      <w:pPr>
        <w:spacing w:after="0" w:line="240" w:lineRule="auto"/>
        <w:rPr>
          <w:rFonts w:cs="Arial"/>
          <w:sz w:val="24"/>
          <w:szCs w:val="24"/>
        </w:rPr>
      </w:pPr>
    </w:p>
    <w:p w14:paraId="18BFEFA6" w14:textId="6ED4FEA4" w:rsidR="00073ED7" w:rsidRPr="000B535C" w:rsidRDefault="00073ED7" w:rsidP="008E2527">
      <w:pPr>
        <w:pStyle w:val="ListParagraph"/>
        <w:numPr>
          <w:ilvl w:val="0"/>
          <w:numId w:val="2"/>
        </w:numPr>
        <w:spacing w:after="0" w:line="240" w:lineRule="auto"/>
        <w:rPr>
          <w:rFonts w:cs="Arial"/>
          <w:sz w:val="24"/>
          <w:szCs w:val="24"/>
        </w:rPr>
      </w:pPr>
      <w:r w:rsidRPr="000B535C">
        <w:rPr>
          <w:rFonts w:cs="Arial"/>
          <w:sz w:val="24"/>
          <w:szCs w:val="24"/>
        </w:rPr>
        <w:t xml:space="preserve">In many instances, councils can </w:t>
      </w:r>
      <w:r w:rsidR="004F2291">
        <w:rPr>
          <w:rFonts w:cs="Arial"/>
          <w:sz w:val="24"/>
          <w:szCs w:val="24"/>
        </w:rPr>
        <w:t xml:space="preserve">– and do - </w:t>
      </w:r>
      <w:r w:rsidRPr="000B535C">
        <w:rPr>
          <w:rFonts w:cs="Arial"/>
          <w:sz w:val="24"/>
          <w:szCs w:val="24"/>
        </w:rPr>
        <w:t>themselves</w:t>
      </w:r>
      <w:r w:rsidR="00D329A4">
        <w:rPr>
          <w:rFonts w:cs="Arial"/>
          <w:sz w:val="24"/>
          <w:szCs w:val="24"/>
        </w:rPr>
        <w:t xml:space="preserve"> (either individually or working together)</w:t>
      </w:r>
      <w:r w:rsidRPr="000B535C">
        <w:rPr>
          <w:rFonts w:cs="Arial"/>
          <w:sz w:val="24"/>
          <w:szCs w:val="24"/>
        </w:rPr>
        <w:t xml:space="preserve"> take action to address the workforce capacity challenge</w:t>
      </w:r>
      <w:r w:rsidR="00AE1208">
        <w:rPr>
          <w:rFonts w:cs="Arial"/>
          <w:sz w:val="24"/>
          <w:szCs w:val="24"/>
        </w:rPr>
        <w:t xml:space="preserve">, some of which are consistent across all service areas and so are not repeated </w:t>
      </w:r>
      <w:r w:rsidR="00763171">
        <w:rPr>
          <w:rFonts w:cs="Arial"/>
          <w:sz w:val="24"/>
          <w:szCs w:val="24"/>
        </w:rPr>
        <w:t>in each case</w:t>
      </w:r>
      <w:r w:rsidR="00B93314">
        <w:rPr>
          <w:rFonts w:cs="Arial"/>
          <w:sz w:val="24"/>
          <w:szCs w:val="24"/>
        </w:rPr>
        <w:t xml:space="preserve"> </w:t>
      </w:r>
      <w:r w:rsidR="00AE1208">
        <w:rPr>
          <w:rFonts w:cs="Arial"/>
          <w:sz w:val="24"/>
          <w:szCs w:val="24"/>
        </w:rPr>
        <w:t xml:space="preserve">(such as </w:t>
      </w:r>
      <w:r w:rsidR="003E2A9C">
        <w:rPr>
          <w:rFonts w:cs="Arial"/>
          <w:sz w:val="24"/>
          <w:szCs w:val="24"/>
        </w:rPr>
        <w:t>use of apprenticeships, continuing professional development and other retention good practice)</w:t>
      </w:r>
      <w:r w:rsidRPr="000B535C">
        <w:rPr>
          <w:rFonts w:cs="Arial"/>
          <w:sz w:val="24"/>
          <w:szCs w:val="24"/>
        </w:rPr>
        <w:t>.  The LGA can also provide support and share best practice to support councils to take appropriate action.  In other cases, there are professional bodies and other stakeholders who are best placed to act, sometimes with the LGA in a supporting role.  In a few cases, the LGA will lobby for change on behalf of the sector</w:t>
      </w:r>
      <w:r w:rsidR="004A322B">
        <w:rPr>
          <w:rFonts w:cs="Arial"/>
          <w:sz w:val="24"/>
          <w:szCs w:val="24"/>
        </w:rPr>
        <w:t xml:space="preserve"> alongside ongoing </w:t>
      </w:r>
      <w:r w:rsidR="005A2782">
        <w:rPr>
          <w:rFonts w:cs="Arial"/>
          <w:sz w:val="24"/>
          <w:szCs w:val="24"/>
        </w:rPr>
        <w:t xml:space="preserve">lobbying </w:t>
      </w:r>
      <w:r w:rsidR="00F509B2">
        <w:rPr>
          <w:rFonts w:cs="Arial"/>
          <w:sz w:val="24"/>
          <w:szCs w:val="24"/>
        </w:rPr>
        <w:t>to press for longer term funding that reflects current and future demand for services.</w:t>
      </w:r>
    </w:p>
    <w:p w14:paraId="16597D69" w14:textId="77777777" w:rsidR="00073ED7" w:rsidRPr="000B535C" w:rsidRDefault="00073ED7" w:rsidP="008E2527">
      <w:pPr>
        <w:spacing w:after="0" w:line="240" w:lineRule="auto"/>
        <w:rPr>
          <w:rFonts w:cs="Arial"/>
          <w:sz w:val="24"/>
          <w:szCs w:val="24"/>
        </w:rPr>
      </w:pPr>
    </w:p>
    <w:p w14:paraId="022CF147" w14:textId="667AE424" w:rsidR="00073ED7" w:rsidRPr="000B535C" w:rsidRDefault="00073ED7" w:rsidP="008E2527">
      <w:pPr>
        <w:pStyle w:val="ListParagraph"/>
        <w:numPr>
          <w:ilvl w:val="0"/>
          <w:numId w:val="2"/>
        </w:numPr>
        <w:spacing w:after="0" w:line="240" w:lineRule="auto"/>
        <w:rPr>
          <w:rFonts w:cs="Arial"/>
          <w:sz w:val="24"/>
          <w:szCs w:val="24"/>
        </w:rPr>
      </w:pPr>
      <w:r w:rsidRPr="000B535C">
        <w:rPr>
          <w:rFonts w:cs="Arial"/>
          <w:sz w:val="24"/>
          <w:szCs w:val="24"/>
        </w:rPr>
        <w:t>This plan identifies for each priority occupation:</w:t>
      </w:r>
    </w:p>
    <w:p w14:paraId="1130D2E3" w14:textId="77777777" w:rsidR="00073ED7" w:rsidRPr="000B535C" w:rsidRDefault="00073ED7" w:rsidP="008E2527">
      <w:pPr>
        <w:pStyle w:val="ListParagraph"/>
        <w:widowControl w:val="0"/>
        <w:numPr>
          <w:ilvl w:val="0"/>
          <w:numId w:val="3"/>
        </w:numPr>
        <w:spacing w:after="0" w:line="240" w:lineRule="auto"/>
        <w:ind w:left="851" w:hanging="284"/>
        <w:rPr>
          <w:rFonts w:cs="Arial"/>
          <w:sz w:val="24"/>
          <w:szCs w:val="24"/>
        </w:rPr>
      </w:pPr>
      <w:r w:rsidRPr="000B535C">
        <w:rPr>
          <w:rFonts w:cs="Arial"/>
          <w:sz w:val="24"/>
          <w:szCs w:val="24"/>
        </w:rPr>
        <w:t>the relevant issues leading to the capacity challenge</w:t>
      </w:r>
    </w:p>
    <w:p w14:paraId="19171ABF" w14:textId="77777777" w:rsidR="00073ED7" w:rsidRPr="000B535C" w:rsidRDefault="00073ED7" w:rsidP="008E2527">
      <w:pPr>
        <w:pStyle w:val="ListParagraph"/>
        <w:widowControl w:val="0"/>
        <w:numPr>
          <w:ilvl w:val="0"/>
          <w:numId w:val="3"/>
        </w:numPr>
        <w:spacing w:after="0" w:line="240" w:lineRule="auto"/>
        <w:ind w:left="851" w:hanging="284"/>
        <w:rPr>
          <w:rFonts w:cs="Arial"/>
          <w:sz w:val="24"/>
          <w:szCs w:val="24"/>
        </w:rPr>
      </w:pPr>
      <w:r w:rsidRPr="000B535C">
        <w:rPr>
          <w:rFonts w:cs="Arial"/>
          <w:sz w:val="24"/>
          <w:szCs w:val="24"/>
        </w:rPr>
        <w:t>activity which has been identified as appropriate to address the issues:</w:t>
      </w:r>
    </w:p>
    <w:p w14:paraId="2669D86C" w14:textId="6D577E06" w:rsidR="00073ED7" w:rsidRPr="000B535C" w:rsidRDefault="00073ED7" w:rsidP="008E2527">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what can councils do for themselves</w:t>
      </w:r>
      <w:r w:rsidR="00D77DA9">
        <w:rPr>
          <w:rFonts w:cs="Arial"/>
          <w:sz w:val="24"/>
          <w:szCs w:val="24"/>
        </w:rPr>
        <w:t xml:space="preserve"> (individually and working together)</w:t>
      </w:r>
    </w:p>
    <w:p w14:paraId="45A06234" w14:textId="77777777" w:rsidR="00073ED7" w:rsidRPr="000B535C" w:rsidRDefault="00073ED7" w:rsidP="008E2527">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 xml:space="preserve">what can relevant bodies do </w:t>
      </w:r>
    </w:p>
    <w:p w14:paraId="34E43CDC" w14:textId="77777777" w:rsidR="00073ED7" w:rsidRPr="000B535C" w:rsidRDefault="00073ED7" w:rsidP="008E2527">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the LGA’s role:</w:t>
      </w:r>
    </w:p>
    <w:p w14:paraId="32FF80D7" w14:textId="77777777" w:rsidR="00073ED7" w:rsidRPr="000B535C" w:rsidRDefault="00073ED7" w:rsidP="008E2527">
      <w:pPr>
        <w:pStyle w:val="ListParagraph"/>
        <w:widowControl w:val="0"/>
        <w:numPr>
          <w:ilvl w:val="3"/>
          <w:numId w:val="3"/>
        </w:numPr>
        <w:spacing w:after="0" w:line="240" w:lineRule="auto"/>
        <w:ind w:left="1418" w:hanging="294"/>
        <w:rPr>
          <w:rFonts w:cs="Arial"/>
          <w:sz w:val="24"/>
          <w:szCs w:val="24"/>
        </w:rPr>
      </w:pPr>
      <w:r w:rsidRPr="000B535C">
        <w:rPr>
          <w:rFonts w:cs="Arial"/>
          <w:sz w:val="24"/>
          <w:szCs w:val="24"/>
        </w:rPr>
        <w:t>providing support</w:t>
      </w:r>
    </w:p>
    <w:p w14:paraId="0EFE856F" w14:textId="77777777" w:rsidR="00073ED7" w:rsidRPr="000B535C" w:rsidRDefault="00073ED7" w:rsidP="008E2527">
      <w:pPr>
        <w:pStyle w:val="ListParagraph"/>
        <w:widowControl w:val="0"/>
        <w:numPr>
          <w:ilvl w:val="3"/>
          <w:numId w:val="3"/>
        </w:numPr>
        <w:spacing w:after="0" w:line="240" w:lineRule="auto"/>
        <w:ind w:left="1418" w:hanging="294"/>
        <w:rPr>
          <w:rFonts w:cs="Arial"/>
          <w:sz w:val="24"/>
          <w:szCs w:val="24"/>
        </w:rPr>
      </w:pPr>
      <w:r w:rsidRPr="000B535C">
        <w:rPr>
          <w:rFonts w:cs="Arial"/>
          <w:sz w:val="24"/>
          <w:szCs w:val="24"/>
        </w:rPr>
        <w:t>lobbying for change</w:t>
      </w:r>
    </w:p>
    <w:p w14:paraId="7A254F0D" w14:textId="77777777" w:rsidR="002D6A69" w:rsidRDefault="002D6A69" w:rsidP="008E2527">
      <w:pPr>
        <w:spacing w:after="0" w:line="240" w:lineRule="auto"/>
        <w:ind w:left="426" w:firstLine="0"/>
        <w:rPr>
          <w:rFonts w:cs="Arial"/>
          <w:sz w:val="24"/>
          <w:szCs w:val="24"/>
        </w:rPr>
      </w:pPr>
    </w:p>
    <w:p w14:paraId="2E6BD8CF" w14:textId="3FD0DB9A" w:rsidR="002D6A69" w:rsidRPr="00CC367D" w:rsidRDefault="002D6A69" w:rsidP="008E2527">
      <w:pPr>
        <w:pStyle w:val="ListParagraph"/>
        <w:numPr>
          <w:ilvl w:val="0"/>
          <w:numId w:val="2"/>
        </w:numPr>
        <w:spacing w:after="0" w:line="240" w:lineRule="auto"/>
        <w:rPr>
          <w:rFonts w:cs="Arial"/>
          <w:sz w:val="24"/>
          <w:szCs w:val="24"/>
        </w:rPr>
      </w:pPr>
      <w:r w:rsidRPr="002E0938">
        <w:rPr>
          <w:rFonts w:cs="Arial"/>
          <w:sz w:val="24"/>
          <w:szCs w:val="24"/>
        </w:rPr>
        <w:t xml:space="preserve">The plan also </w:t>
      </w:r>
      <w:r w:rsidRPr="00CC367D">
        <w:rPr>
          <w:rFonts w:cs="Arial"/>
          <w:sz w:val="24"/>
          <w:szCs w:val="24"/>
        </w:rPr>
        <w:t>identifies actions the LGA will take on a sector-wide basis, to:</w:t>
      </w:r>
    </w:p>
    <w:p w14:paraId="7A6945E0" w14:textId="77777777" w:rsidR="002D6A69" w:rsidRPr="00CC367D" w:rsidRDefault="002D6A69" w:rsidP="008E2527">
      <w:pPr>
        <w:pStyle w:val="ListParagraph"/>
        <w:widowControl w:val="0"/>
        <w:numPr>
          <w:ilvl w:val="0"/>
          <w:numId w:val="4"/>
        </w:numPr>
        <w:spacing w:after="0" w:line="240" w:lineRule="auto"/>
        <w:ind w:left="851" w:hanging="284"/>
        <w:rPr>
          <w:rFonts w:cs="Arial"/>
          <w:sz w:val="24"/>
          <w:szCs w:val="24"/>
        </w:rPr>
      </w:pPr>
      <w:r w:rsidRPr="00CC367D">
        <w:rPr>
          <w:rFonts w:cs="Arial"/>
          <w:sz w:val="24"/>
          <w:szCs w:val="24"/>
        </w:rPr>
        <w:t>provide support</w:t>
      </w:r>
    </w:p>
    <w:p w14:paraId="33AAA9EC" w14:textId="75BC406C" w:rsidR="002D6A69" w:rsidRPr="00CC367D" w:rsidRDefault="002D6A69" w:rsidP="008E2527">
      <w:pPr>
        <w:pStyle w:val="ListParagraph"/>
        <w:widowControl w:val="0"/>
        <w:numPr>
          <w:ilvl w:val="0"/>
          <w:numId w:val="4"/>
        </w:numPr>
        <w:spacing w:after="0" w:line="240" w:lineRule="auto"/>
        <w:ind w:left="851" w:hanging="284"/>
        <w:rPr>
          <w:rFonts w:cs="Arial"/>
          <w:sz w:val="24"/>
          <w:szCs w:val="24"/>
        </w:rPr>
      </w:pPr>
      <w:r w:rsidRPr="00CC367D">
        <w:rPr>
          <w:rFonts w:cs="Arial"/>
          <w:sz w:val="24"/>
          <w:szCs w:val="24"/>
        </w:rPr>
        <w:t>lobby for change.</w:t>
      </w:r>
    </w:p>
    <w:p w14:paraId="3FE153DC" w14:textId="77777777" w:rsidR="000F0FDF" w:rsidRPr="00CC367D" w:rsidRDefault="002E0938" w:rsidP="008E2527">
      <w:pPr>
        <w:widowControl w:val="0"/>
        <w:spacing w:after="0" w:line="240" w:lineRule="auto"/>
        <w:ind w:left="426" w:firstLine="28"/>
        <w:rPr>
          <w:rFonts w:cs="Arial"/>
          <w:sz w:val="24"/>
          <w:szCs w:val="24"/>
        </w:rPr>
      </w:pPr>
      <w:r w:rsidRPr="00CC367D">
        <w:rPr>
          <w:rFonts w:cs="Arial"/>
          <w:sz w:val="24"/>
          <w:szCs w:val="24"/>
        </w:rPr>
        <w:t xml:space="preserve">These actions </w:t>
      </w:r>
      <w:r w:rsidR="00E64848" w:rsidRPr="00CC367D">
        <w:rPr>
          <w:rFonts w:cs="Arial"/>
          <w:sz w:val="24"/>
          <w:szCs w:val="24"/>
        </w:rPr>
        <w:t xml:space="preserve">can be delivered within existing resources </w:t>
      </w:r>
      <w:r w:rsidR="006A32DA" w:rsidRPr="00CC367D">
        <w:rPr>
          <w:rFonts w:cs="Arial"/>
          <w:sz w:val="24"/>
          <w:szCs w:val="24"/>
        </w:rPr>
        <w:t>(through various sources of improvement grant funding)</w:t>
      </w:r>
      <w:r w:rsidR="000F0FDF" w:rsidRPr="00CC367D">
        <w:rPr>
          <w:rFonts w:cs="Arial"/>
          <w:sz w:val="24"/>
          <w:szCs w:val="24"/>
        </w:rPr>
        <w:t>.</w:t>
      </w:r>
    </w:p>
    <w:p w14:paraId="34B31D48" w14:textId="77777777" w:rsidR="000F0FDF" w:rsidRPr="00CC367D" w:rsidRDefault="000F0FDF" w:rsidP="008E2527">
      <w:pPr>
        <w:widowControl w:val="0"/>
        <w:spacing w:after="0" w:line="240" w:lineRule="auto"/>
        <w:ind w:left="426" w:firstLine="28"/>
        <w:rPr>
          <w:rFonts w:cs="Arial"/>
          <w:sz w:val="24"/>
          <w:szCs w:val="24"/>
        </w:rPr>
      </w:pPr>
    </w:p>
    <w:p w14:paraId="52006399" w14:textId="41EB2A46" w:rsidR="002D6A69" w:rsidRPr="00CC367D" w:rsidRDefault="000F0FDF" w:rsidP="008E2527">
      <w:pPr>
        <w:pStyle w:val="ListParagraph"/>
        <w:widowControl w:val="0"/>
        <w:numPr>
          <w:ilvl w:val="0"/>
          <w:numId w:val="2"/>
        </w:numPr>
        <w:spacing w:after="0" w:line="240" w:lineRule="auto"/>
        <w:rPr>
          <w:rFonts w:cs="Arial"/>
          <w:sz w:val="24"/>
          <w:szCs w:val="24"/>
        </w:rPr>
      </w:pPr>
      <w:r w:rsidRPr="00CC367D">
        <w:rPr>
          <w:rFonts w:cs="Arial"/>
          <w:sz w:val="24"/>
          <w:szCs w:val="24"/>
        </w:rPr>
        <w:t xml:space="preserve">Given the scale of the challenge, officers have considered any further actions which could be </w:t>
      </w:r>
      <w:r w:rsidR="00C64100" w:rsidRPr="00CC367D">
        <w:rPr>
          <w:rFonts w:cs="Arial"/>
          <w:sz w:val="24"/>
          <w:szCs w:val="24"/>
        </w:rPr>
        <w:t xml:space="preserve">funded through alternative sources, </w:t>
      </w:r>
      <w:r w:rsidR="00ED5B9E" w:rsidRPr="00CC367D">
        <w:rPr>
          <w:rFonts w:cs="Arial"/>
          <w:sz w:val="24"/>
          <w:szCs w:val="24"/>
        </w:rPr>
        <w:t>for example:</w:t>
      </w:r>
    </w:p>
    <w:p w14:paraId="3AA1B54D" w14:textId="77777777" w:rsidR="00741EC3" w:rsidRPr="00741EC3" w:rsidRDefault="00741EC3" w:rsidP="008E2527">
      <w:pPr>
        <w:spacing w:after="0" w:line="240" w:lineRule="auto"/>
        <w:ind w:left="0" w:firstLine="0"/>
        <w:rPr>
          <w:rFonts w:cs="Arial"/>
          <w:sz w:val="24"/>
          <w:szCs w:val="24"/>
        </w:rPr>
      </w:pPr>
    </w:p>
    <w:p w14:paraId="61065C5D" w14:textId="77777777" w:rsidR="00E72B91" w:rsidRDefault="00E72B91" w:rsidP="008E2527">
      <w:pPr>
        <w:spacing w:after="0" w:line="240" w:lineRule="auto"/>
        <w:rPr>
          <w:rFonts w:cs="Arial"/>
          <w:sz w:val="24"/>
          <w:szCs w:val="24"/>
        </w:rPr>
      </w:pPr>
    </w:p>
    <w:p w14:paraId="6BD3618D" w14:textId="77777777" w:rsidR="00F4378D" w:rsidRDefault="00F4378D" w:rsidP="008E2527">
      <w:pPr>
        <w:pStyle w:val="ListParagraph"/>
        <w:numPr>
          <w:ilvl w:val="0"/>
          <w:numId w:val="0"/>
        </w:numPr>
        <w:spacing w:after="0" w:line="240" w:lineRule="auto"/>
        <w:ind w:left="1174"/>
        <w:rPr>
          <w:rFonts w:cs="Arial"/>
          <w:sz w:val="24"/>
          <w:szCs w:val="24"/>
        </w:rPr>
      </w:pPr>
    </w:p>
    <w:p w14:paraId="18A55809" w14:textId="77777777" w:rsidR="00ED5B9E" w:rsidRDefault="00ED5B9E" w:rsidP="008E2527">
      <w:pPr>
        <w:pStyle w:val="ListParagraph"/>
        <w:numPr>
          <w:ilvl w:val="0"/>
          <w:numId w:val="7"/>
        </w:numPr>
        <w:spacing w:after="0" w:line="240" w:lineRule="auto"/>
        <w:rPr>
          <w:rFonts w:cs="Arial"/>
          <w:sz w:val="24"/>
          <w:szCs w:val="24"/>
        </w:rPr>
      </w:pPr>
      <w:r>
        <w:rPr>
          <w:rFonts w:cs="Arial"/>
          <w:sz w:val="24"/>
          <w:szCs w:val="24"/>
        </w:rPr>
        <w:t xml:space="preserve">testing with the sector the market for any support offers which could be provided on a commercial </w:t>
      </w:r>
      <w:proofErr w:type="gramStart"/>
      <w:r>
        <w:rPr>
          <w:rFonts w:cs="Arial"/>
          <w:sz w:val="24"/>
          <w:szCs w:val="24"/>
        </w:rPr>
        <w:t>basis;</w:t>
      </w:r>
      <w:proofErr w:type="gramEnd"/>
    </w:p>
    <w:p w14:paraId="688D87F3" w14:textId="77777777" w:rsidR="00ED5B9E" w:rsidRDefault="00ED5B9E" w:rsidP="008E2527">
      <w:pPr>
        <w:pStyle w:val="ListParagraph"/>
        <w:numPr>
          <w:ilvl w:val="0"/>
          <w:numId w:val="0"/>
        </w:numPr>
        <w:spacing w:after="0" w:line="240" w:lineRule="auto"/>
        <w:ind w:left="1174"/>
        <w:rPr>
          <w:rFonts w:cs="Arial"/>
          <w:sz w:val="24"/>
          <w:szCs w:val="24"/>
        </w:rPr>
      </w:pPr>
    </w:p>
    <w:p w14:paraId="7C2396F3" w14:textId="2E6B61A3" w:rsidR="00F4378D" w:rsidRDefault="00F4378D" w:rsidP="008E2527">
      <w:pPr>
        <w:pStyle w:val="ListParagraph"/>
        <w:numPr>
          <w:ilvl w:val="0"/>
          <w:numId w:val="7"/>
        </w:numPr>
        <w:spacing w:after="0" w:line="240" w:lineRule="auto"/>
        <w:rPr>
          <w:rFonts w:cs="Arial"/>
          <w:sz w:val="24"/>
          <w:szCs w:val="24"/>
        </w:rPr>
      </w:pPr>
      <w:r>
        <w:rPr>
          <w:rFonts w:cs="Arial"/>
          <w:sz w:val="24"/>
          <w:szCs w:val="24"/>
        </w:rPr>
        <w:t>a</w:t>
      </w:r>
      <w:r w:rsidR="001622A3">
        <w:rPr>
          <w:rFonts w:cs="Arial"/>
          <w:sz w:val="24"/>
          <w:szCs w:val="24"/>
        </w:rPr>
        <w:t>pproaching other government departments</w:t>
      </w:r>
      <w:r>
        <w:rPr>
          <w:rFonts w:cs="Arial"/>
          <w:sz w:val="24"/>
          <w:szCs w:val="24"/>
        </w:rPr>
        <w:t xml:space="preserve"> for funding for support relevant to their </w:t>
      </w:r>
      <w:proofErr w:type="gramStart"/>
      <w:r>
        <w:rPr>
          <w:rFonts w:cs="Arial"/>
          <w:sz w:val="24"/>
          <w:szCs w:val="24"/>
        </w:rPr>
        <w:t>remit</w:t>
      </w:r>
      <w:r w:rsidR="001622A3">
        <w:rPr>
          <w:rFonts w:cs="Arial"/>
          <w:sz w:val="24"/>
          <w:szCs w:val="24"/>
        </w:rPr>
        <w:t>;</w:t>
      </w:r>
      <w:proofErr w:type="gramEnd"/>
    </w:p>
    <w:p w14:paraId="18D308D6" w14:textId="77777777" w:rsidR="00F4378D" w:rsidRPr="00F4378D" w:rsidRDefault="00F4378D" w:rsidP="008E2527">
      <w:pPr>
        <w:pStyle w:val="ListParagraph"/>
        <w:numPr>
          <w:ilvl w:val="0"/>
          <w:numId w:val="0"/>
        </w:numPr>
        <w:spacing w:after="0" w:line="240" w:lineRule="auto"/>
        <w:ind w:left="360"/>
        <w:rPr>
          <w:rFonts w:cs="Arial"/>
          <w:sz w:val="24"/>
          <w:szCs w:val="24"/>
        </w:rPr>
      </w:pPr>
    </w:p>
    <w:p w14:paraId="69260574" w14:textId="5DAE4D61" w:rsidR="00F4378D" w:rsidRDefault="00F4378D" w:rsidP="008E2527">
      <w:pPr>
        <w:pStyle w:val="ListParagraph"/>
        <w:numPr>
          <w:ilvl w:val="0"/>
          <w:numId w:val="7"/>
        </w:numPr>
        <w:spacing w:after="0" w:line="240" w:lineRule="auto"/>
        <w:rPr>
          <w:rFonts w:cs="Arial"/>
          <w:sz w:val="24"/>
          <w:szCs w:val="24"/>
        </w:rPr>
      </w:pPr>
      <w:r>
        <w:rPr>
          <w:rFonts w:cs="Arial"/>
          <w:sz w:val="24"/>
          <w:szCs w:val="24"/>
        </w:rPr>
        <w:t xml:space="preserve">use of LGA reserves to fund support </w:t>
      </w:r>
      <w:proofErr w:type="gramStart"/>
      <w:r>
        <w:rPr>
          <w:rFonts w:cs="Arial"/>
          <w:sz w:val="24"/>
          <w:szCs w:val="24"/>
        </w:rPr>
        <w:t>offers;</w:t>
      </w:r>
      <w:proofErr w:type="gramEnd"/>
    </w:p>
    <w:p w14:paraId="3792D878" w14:textId="77777777" w:rsidR="00F4378D" w:rsidRPr="00F4378D" w:rsidRDefault="00F4378D" w:rsidP="008E2527">
      <w:pPr>
        <w:pStyle w:val="ListParagraph"/>
        <w:numPr>
          <w:ilvl w:val="0"/>
          <w:numId w:val="0"/>
        </w:numPr>
        <w:spacing w:after="0" w:line="240" w:lineRule="auto"/>
        <w:ind w:left="360"/>
        <w:rPr>
          <w:rFonts w:cs="Arial"/>
          <w:sz w:val="24"/>
          <w:szCs w:val="24"/>
        </w:rPr>
      </w:pPr>
    </w:p>
    <w:p w14:paraId="02DB7136" w14:textId="75C1A601" w:rsidR="00F4378D" w:rsidRDefault="001E0D54" w:rsidP="008E2527">
      <w:pPr>
        <w:pStyle w:val="ListParagraph"/>
        <w:numPr>
          <w:ilvl w:val="0"/>
          <w:numId w:val="7"/>
        </w:numPr>
        <w:spacing w:after="0" w:line="240" w:lineRule="auto"/>
        <w:rPr>
          <w:rFonts w:cs="Arial"/>
          <w:sz w:val="24"/>
          <w:szCs w:val="24"/>
        </w:rPr>
      </w:pPr>
      <w:r>
        <w:rPr>
          <w:rFonts w:cs="Arial"/>
          <w:sz w:val="24"/>
          <w:szCs w:val="24"/>
        </w:rPr>
        <w:t>a</w:t>
      </w:r>
      <w:r w:rsidR="00F4378D">
        <w:rPr>
          <w:rFonts w:cs="Arial"/>
          <w:sz w:val="24"/>
          <w:szCs w:val="24"/>
        </w:rPr>
        <w:t xml:space="preserve"> mixture of the above.</w:t>
      </w:r>
    </w:p>
    <w:p w14:paraId="273B2677" w14:textId="55184A33" w:rsidR="00ED5B9E" w:rsidRDefault="00ED5B9E" w:rsidP="008E2527">
      <w:pPr>
        <w:pStyle w:val="ListParagraph"/>
        <w:numPr>
          <w:ilvl w:val="0"/>
          <w:numId w:val="0"/>
        </w:numPr>
        <w:spacing w:after="0" w:line="240" w:lineRule="auto"/>
        <w:ind w:left="360"/>
        <w:rPr>
          <w:rFonts w:cs="Arial"/>
          <w:sz w:val="24"/>
          <w:szCs w:val="24"/>
        </w:rPr>
      </w:pPr>
    </w:p>
    <w:p w14:paraId="1FC89DC0" w14:textId="77777777" w:rsidR="001E7D55" w:rsidRPr="00FF1861" w:rsidRDefault="001344C1" w:rsidP="008E2527">
      <w:pPr>
        <w:pStyle w:val="ListParagraph"/>
        <w:numPr>
          <w:ilvl w:val="0"/>
          <w:numId w:val="2"/>
        </w:numPr>
        <w:spacing w:after="0" w:line="240" w:lineRule="auto"/>
        <w:rPr>
          <w:rFonts w:cs="Arial"/>
          <w:sz w:val="24"/>
          <w:szCs w:val="24"/>
        </w:rPr>
      </w:pPr>
      <w:r w:rsidRPr="00065720">
        <w:rPr>
          <w:rFonts w:cs="Arial"/>
          <w:sz w:val="24"/>
          <w:szCs w:val="24"/>
        </w:rPr>
        <w:t xml:space="preserve">It is proposed that </w:t>
      </w:r>
      <w:r w:rsidRPr="00FF1861">
        <w:rPr>
          <w:rFonts w:cs="Arial"/>
          <w:sz w:val="24"/>
          <w:szCs w:val="24"/>
        </w:rPr>
        <w:t>further, prioritised action will focus in the first instance on workforce capacity challenges related to children’s social work</w:t>
      </w:r>
      <w:r w:rsidR="0047488F" w:rsidRPr="00FF1861">
        <w:rPr>
          <w:rFonts w:cs="Arial"/>
          <w:sz w:val="24"/>
          <w:szCs w:val="24"/>
        </w:rPr>
        <w:t>ers</w:t>
      </w:r>
      <w:r w:rsidR="001E7D55" w:rsidRPr="00FF1861">
        <w:rPr>
          <w:rFonts w:cs="Arial"/>
          <w:sz w:val="24"/>
          <w:szCs w:val="24"/>
        </w:rPr>
        <w:t>.  Work is underway to develop costed proposals to resource the following actions:</w:t>
      </w:r>
    </w:p>
    <w:p w14:paraId="3563DEF7" w14:textId="77777777" w:rsidR="00D2258E" w:rsidRPr="00FF1861" w:rsidRDefault="00D2258E" w:rsidP="008E2527">
      <w:pPr>
        <w:spacing w:after="0" w:line="240" w:lineRule="auto"/>
        <w:rPr>
          <w:rFonts w:cs="Arial"/>
          <w:sz w:val="24"/>
          <w:szCs w:val="24"/>
        </w:rPr>
      </w:pPr>
    </w:p>
    <w:p w14:paraId="2A7797F5" w14:textId="7505377E" w:rsidR="00D2258E" w:rsidRPr="00FF1861" w:rsidRDefault="00D2258E" w:rsidP="008E2527">
      <w:pPr>
        <w:pStyle w:val="ListParagraph"/>
        <w:numPr>
          <w:ilvl w:val="0"/>
          <w:numId w:val="10"/>
        </w:numPr>
        <w:spacing w:after="0" w:line="240" w:lineRule="auto"/>
        <w:rPr>
          <w:rFonts w:cs="Arial"/>
          <w:sz w:val="24"/>
          <w:szCs w:val="24"/>
        </w:rPr>
      </w:pPr>
      <w:r w:rsidRPr="00FF1861">
        <w:rPr>
          <w:rFonts w:cs="Arial"/>
          <w:sz w:val="24"/>
          <w:szCs w:val="24"/>
        </w:rPr>
        <w:t xml:space="preserve">commission research to </w:t>
      </w:r>
      <w:r w:rsidR="003E7AB2" w:rsidRPr="00FF1861">
        <w:rPr>
          <w:rFonts w:cs="Arial"/>
          <w:sz w:val="24"/>
          <w:szCs w:val="24"/>
        </w:rPr>
        <w:t xml:space="preserve">identify </w:t>
      </w:r>
      <w:r w:rsidR="00F156E9" w:rsidRPr="00FF1861">
        <w:rPr>
          <w:rFonts w:cs="Arial"/>
          <w:sz w:val="24"/>
          <w:szCs w:val="24"/>
        </w:rPr>
        <w:t xml:space="preserve">local authorities’ requirements for </w:t>
      </w:r>
      <w:r w:rsidR="00F24AFD" w:rsidRPr="00FF1861">
        <w:rPr>
          <w:rFonts w:cs="Arial"/>
          <w:sz w:val="24"/>
          <w:szCs w:val="24"/>
        </w:rPr>
        <w:t>children’s social worker</w:t>
      </w:r>
      <w:r w:rsidR="00F156E9" w:rsidRPr="00FF1861">
        <w:rPr>
          <w:rFonts w:cs="Arial"/>
          <w:sz w:val="24"/>
          <w:szCs w:val="24"/>
        </w:rPr>
        <w:t>s into the medi</w:t>
      </w:r>
      <w:r w:rsidR="006F4793" w:rsidRPr="00FF1861">
        <w:rPr>
          <w:rFonts w:cs="Arial"/>
          <w:sz w:val="24"/>
          <w:szCs w:val="24"/>
        </w:rPr>
        <w:t>um term</w:t>
      </w:r>
      <w:r w:rsidR="00685CB6" w:rsidRPr="00FF1861">
        <w:rPr>
          <w:rFonts w:cs="Arial"/>
          <w:sz w:val="24"/>
          <w:szCs w:val="24"/>
        </w:rPr>
        <w:t xml:space="preserve"> and quantify the current and projected </w:t>
      </w:r>
      <w:proofErr w:type="gramStart"/>
      <w:r w:rsidR="00685CB6" w:rsidRPr="00FF1861">
        <w:rPr>
          <w:rFonts w:cs="Arial"/>
          <w:sz w:val="24"/>
          <w:szCs w:val="24"/>
        </w:rPr>
        <w:t>gap</w:t>
      </w:r>
      <w:r w:rsidR="00AF6246" w:rsidRPr="00FF1861">
        <w:rPr>
          <w:rFonts w:cs="Arial"/>
          <w:sz w:val="24"/>
          <w:szCs w:val="24"/>
        </w:rPr>
        <w:t>;</w:t>
      </w:r>
      <w:proofErr w:type="gramEnd"/>
    </w:p>
    <w:p w14:paraId="40239006" w14:textId="5481DE08" w:rsidR="003446EC" w:rsidRPr="00FF1861" w:rsidRDefault="003446EC" w:rsidP="008E2527">
      <w:pPr>
        <w:pStyle w:val="ListParagraph"/>
        <w:numPr>
          <w:ilvl w:val="0"/>
          <w:numId w:val="0"/>
        </w:numPr>
        <w:spacing w:after="0" w:line="240" w:lineRule="auto"/>
        <w:ind w:left="1174"/>
        <w:rPr>
          <w:rFonts w:cs="Arial"/>
          <w:sz w:val="24"/>
          <w:szCs w:val="24"/>
        </w:rPr>
      </w:pPr>
    </w:p>
    <w:p w14:paraId="4E84B789" w14:textId="5B5C5991" w:rsidR="003446EC" w:rsidRPr="00FF1861" w:rsidRDefault="00146E00" w:rsidP="008E2527">
      <w:pPr>
        <w:pStyle w:val="ListParagraph"/>
        <w:numPr>
          <w:ilvl w:val="0"/>
          <w:numId w:val="10"/>
        </w:numPr>
        <w:spacing w:after="0" w:line="240" w:lineRule="auto"/>
        <w:rPr>
          <w:rFonts w:cs="Arial"/>
          <w:sz w:val="24"/>
          <w:szCs w:val="24"/>
        </w:rPr>
      </w:pPr>
      <w:r w:rsidRPr="00FF1861">
        <w:rPr>
          <w:rFonts w:cs="Arial"/>
          <w:sz w:val="24"/>
          <w:szCs w:val="24"/>
        </w:rPr>
        <w:t xml:space="preserve">conducting the Employer </w:t>
      </w:r>
      <w:proofErr w:type="spellStart"/>
      <w:r w:rsidRPr="00FF1861">
        <w:rPr>
          <w:rFonts w:cs="Arial"/>
          <w:sz w:val="24"/>
          <w:szCs w:val="24"/>
        </w:rPr>
        <w:t>Healthcheck</w:t>
      </w:r>
      <w:proofErr w:type="spellEnd"/>
      <w:r w:rsidRPr="00FF1861">
        <w:rPr>
          <w:rFonts w:cs="Arial"/>
          <w:sz w:val="24"/>
          <w:szCs w:val="24"/>
        </w:rPr>
        <w:t xml:space="preserve"> survey to improve children’s social worker retention</w:t>
      </w:r>
      <w:r w:rsidR="00AF5B38" w:rsidRPr="00FF1861">
        <w:rPr>
          <w:rFonts w:cs="Arial"/>
          <w:sz w:val="24"/>
          <w:szCs w:val="24"/>
        </w:rPr>
        <w:t xml:space="preserve"> (discussions are underway </w:t>
      </w:r>
      <w:r w:rsidR="006339AF" w:rsidRPr="00FF1861">
        <w:rPr>
          <w:rFonts w:cs="Arial"/>
          <w:sz w:val="24"/>
          <w:szCs w:val="24"/>
        </w:rPr>
        <w:t>with potential co-</w:t>
      </w:r>
      <w:proofErr w:type="spellStart"/>
      <w:r w:rsidR="006339AF" w:rsidRPr="00FF1861">
        <w:rPr>
          <w:rFonts w:cs="Arial"/>
          <w:sz w:val="24"/>
          <w:szCs w:val="24"/>
        </w:rPr>
        <w:t>funders</w:t>
      </w:r>
      <w:proofErr w:type="spellEnd"/>
      <w:r w:rsidR="00AF6246" w:rsidRPr="00FF1861">
        <w:rPr>
          <w:rFonts w:cs="Arial"/>
          <w:sz w:val="24"/>
          <w:szCs w:val="24"/>
        </w:rPr>
        <w:t>)</w:t>
      </w:r>
      <w:r w:rsidR="00200EC4" w:rsidRPr="00FF1861">
        <w:rPr>
          <w:rFonts w:cs="Arial"/>
          <w:sz w:val="24"/>
          <w:szCs w:val="24"/>
        </w:rPr>
        <w:t>.</w:t>
      </w:r>
    </w:p>
    <w:p w14:paraId="5141C5E6" w14:textId="77777777" w:rsidR="00200EC4" w:rsidRPr="00FF1861" w:rsidRDefault="00200EC4" w:rsidP="008E2527">
      <w:pPr>
        <w:pStyle w:val="ListParagraph"/>
        <w:numPr>
          <w:ilvl w:val="0"/>
          <w:numId w:val="0"/>
        </w:numPr>
        <w:spacing w:after="0" w:line="240" w:lineRule="auto"/>
        <w:ind w:left="360"/>
        <w:rPr>
          <w:rFonts w:cs="Arial"/>
          <w:sz w:val="24"/>
          <w:szCs w:val="24"/>
        </w:rPr>
      </w:pPr>
    </w:p>
    <w:p w14:paraId="5E574792" w14:textId="7E69AC1E" w:rsidR="0012419F" w:rsidRPr="005215F2" w:rsidRDefault="0012419F" w:rsidP="008E2527">
      <w:pPr>
        <w:pStyle w:val="ListParagraph"/>
        <w:numPr>
          <w:ilvl w:val="0"/>
          <w:numId w:val="2"/>
        </w:numPr>
        <w:spacing w:after="0" w:line="240" w:lineRule="auto"/>
        <w:rPr>
          <w:rFonts w:cs="Arial"/>
          <w:sz w:val="24"/>
          <w:szCs w:val="24"/>
        </w:rPr>
      </w:pPr>
      <w:r w:rsidRPr="005215F2">
        <w:rPr>
          <w:rFonts w:cs="Arial"/>
          <w:sz w:val="24"/>
          <w:szCs w:val="24"/>
        </w:rPr>
        <w:t>The LGA is also discussing plans for the promotion of children’s social work as a career with Social Work England and other partners and will consider if any additional activity is required on this or any related joint projects.  A verbal update will be given at the meeting.</w:t>
      </w:r>
    </w:p>
    <w:p w14:paraId="36FD0332" w14:textId="78360172" w:rsidR="00F667E7" w:rsidRPr="005215F2" w:rsidRDefault="00F667E7" w:rsidP="008E2527">
      <w:pPr>
        <w:pStyle w:val="ListParagraph"/>
        <w:numPr>
          <w:ilvl w:val="0"/>
          <w:numId w:val="0"/>
        </w:numPr>
        <w:spacing w:after="0" w:line="240" w:lineRule="auto"/>
        <w:ind w:left="454"/>
        <w:rPr>
          <w:rFonts w:cs="Arial"/>
          <w:sz w:val="24"/>
          <w:szCs w:val="24"/>
        </w:rPr>
      </w:pPr>
    </w:p>
    <w:p w14:paraId="0E30B2E7" w14:textId="102182E2" w:rsidR="00F667E7" w:rsidRPr="005215F2" w:rsidRDefault="00F667E7" w:rsidP="008E2527">
      <w:pPr>
        <w:pStyle w:val="ListParagraph"/>
        <w:numPr>
          <w:ilvl w:val="0"/>
          <w:numId w:val="2"/>
        </w:numPr>
        <w:spacing w:after="0" w:line="240" w:lineRule="auto"/>
        <w:rPr>
          <w:rFonts w:cs="Arial"/>
          <w:sz w:val="24"/>
          <w:szCs w:val="24"/>
        </w:rPr>
      </w:pPr>
      <w:r w:rsidRPr="005215F2">
        <w:rPr>
          <w:rFonts w:cs="Arial"/>
          <w:sz w:val="24"/>
          <w:szCs w:val="24"/>
        </w:rPr>
        <w:t xml:space="preserve">Additionally, the LGA is being funded as part of the sector support programme to work with CIPFA to </w:t>
      </w:r>
      <w:r w:rsidR="00D03032" w:rsidRPr="005215F2">
        <w:rPr>
          <w:rFonts w:cs="Arial"/>
          <w:sz w:val="24"/>
          <w:szCs w:val="24"/>
        </w:rPr>
        <w:t xml:space="preserve">develop a workforce plan for </w:t>
      </w:r>
      <w:r w:rsidR="00FB2CB4" w:rsidRPr="005215F2">
        <w:rPr>
          <w:rFonts w:cs="Arial"/>
          <w:sz w:val="24"/>
          <w:szCs w:val="24"/>
        </w:rPr>
        <w:t>finance teams within local authorities.</w:t>
      </w:r>
    </w:p>
    <w:p w14:paraId="5195382A" w14:textId="7B0CC277" w:rsidR="00E272FA" w:rsidRPr="00A84A11" w:rsidRDefault="00E272FA" w:rsidP="00E272FA">
      <w:pPr>
        <w:pStyle w:val="Heading2"/>
        <w:rPr>
          <w:sz w:val="24"/>
        </w:rPr>
      </w:pPr>
      <w:r w:rsidRPr="00A84A11">
        <w:rPr>
          <w:sz w:val="24"/>
        </w:rPr>
        <w:t>Implication</w:t>
      </w:r>
      <w:r w:rsidR="00F417C5">
        <w:rPr>
          <w:sz w:val="24"/>
        </w:rPr>
        <w:t>s</w:t>
      </w:r>
      <w:r w:rsidRPr="00A84A11">
        <w:rPr>
          <w:sz w:val="24"/>
        </w:rPr>
        <w:t xml:space="preserve"> for Wales </w:t>
      </w:r>
    </w:p>
    <w:p w14:paraId="64987E85" w14:textId="5C038637" w:rsidR="00E272FA" w:rsidRPr="00A84A11" w:rsidRDefault="00A84A11" w:rsidP="00E72B91">
      <w:pPr>
        <w:pStyle w:val="ListParagraph"/>
        <w:numPr>
          <w:ilvl w:val="0"/>
          <w:numId w:val="2"/>
        </w:numPr>
        <w:spacing w:after="0" w:line="240" w:lineRule="auto"/>
        <w:contextualSpacing w:val="0"/>
        <w:rPr>
          <w:sz w:val="24"/>
          <w:szCs w:val="24"/>
        </w:rPr>
      </w:pPr>
      <w:r w:rsidRPr="00A84A11">
        <w:rPr>
          <w:sz w:val="24"/>
          <w:szCs w:val="24"/>
        </w:rPr>
        <w:t>Wales faces very similar issues with workforce capacity as are evident in England.  Through the LGA Workforce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493A974C" w14:textId="77777777" w:rsidR="00E272FA" w:rsidRPr="00B66284" w:rsidRDefault="00E272FA" w:rsidP="00E272FA">
      <w:pPr>
        <w:pStyle w:val="Heading2"/>
      </w:pPr>
      <w:r w:rsidRPr="00B66284">
        <w:t xml:space="preserve">Financial Implications  </w:t>
      </w:r>
    </w:p>
    <w:p w14:paraId="6C151C65" w14:textId="1F327BD8" w:rsidR="009064E0" w:rsidRPr="00787B58" w:rsidRDefault="00235C2A" w:rsidP="00922111">
      <w:pPr>
        <w:pStyle w:val="ListParagraph"/>
        <w:numPr>
          <w:ilvl w:val="0"/>
          <w:numId w:val="2"/>
        </w:numPr>
        <w:spacing w:after="0" w:line="240" w:lineRule="auto"/>
        <w:contextualSpacing w:val="0"/>
        <w:rPr>
          <w:sz w:val="24"/>
          <w:szCs w:val="24"/>
        </w:rPr>
      </w:pPr>
      <w:r w:rsidRPr="00787B58">
        <w:rPr>
          <w:sz w:val="24"/>
          <w:szCs w:val="24"/>
        </w:rPr>
        <w:t>LGA actions to address the workforce challenge listed in Appendix A are funded through existing improvement support grant funding</w:t>
      </w:r>
      <w:r w:rsidR="00710440" w:rsidRPr="00787B58">
        <w:rPr>
          <w:sz w:val="24"/>
          <w:szCs w:val="24"/>
        </w:rPr>
        <w:t xml:space="preserve">.  </w:t>
      </w:r>
      <w:r w:rsidR="009064E0" w:rsidRPr="00787B58">
        <w:rPr>
          <w:sz w:val="24"/>
          <w:szCs w:val="24"/>
        </w:rPr>
        <w:t xml:space="preserve">As set out in para 9 above, costed proposals </w:t>
      </w:r>
      <w:r w:rsidR="00710440" w:rsidRPr="00787B58">
        <w:rPr>
          <w:sz w:val="24"/>
          <w:szCs w:val="24"/>
        </w:rPr>
        <w:t xml:space="preserve">for member consideration </w:t>
      </w:r>
      <w:r w:rsidR="009064E0" w:rsidRPr="00787B58">
        <w:rPr>
          <w:sz w:val="24"/>
          <w:szCs w:val="24"/>
        </w:rPr>
        <w:t xml:space="preserve">will be developed for prioritised </w:t>
      </w:r>
      <w:r w:rsidR="009064E0" w:rsidRPr="00787B58">
        <w:rPr>
          <w:sz w:val="24"/>
          <w:szCs w:val="24"/>
        </w:rPr>
        <w:lastRenderedPageBreak/>
        <w:t>activity to support workforce issues</w:t>
      </w:r>
      <w:r w:rsidR="00710440" w:rsidRPr="00787B58">
        <w:rPr>
          <w:sz w:val="24"/>
          <w:szCs w:val="24"/>
        </w:rPr>
        <w:t xml:space="preserve">: this may include commercial </w:t>
      </w:r>
      <w:r w:rsidR="000F6A2D" w:rsidRPr="00787B58">
        <w:rPr>
          <w:sz w:val="24"/>
          <w:szCs w:val="24"/>
        </w:rPr>
        <w:t>offers to councils and/or use of LGA reserves.</w:t>
      </w:r>
      <w:r w:rsidR="009064E0" w:rsidRPr="00787B58">
        <w:rPr>
          <w:sz w:val="24"/>
          <w:szCs w:val="24"/>
        </w:rPr>
        <w:t xml:space="preserve"> </w:t>
      </w:r>
    </w:p>
    <w:p w14:paraId="752828F0" w14:textId="77777777" w:rsidR="00E272FA" w:rsidRPr="00B66284" w:rsidRDefault="00E272FA" w:rsidP="00E272FA">
      <w:pPr>
        <w:pStyle w:val="Heading2"/>
      </w:pPr>
      <w:r w:rsidRPr="00B66284">
        <w:t xml:space="preserve">Equalities implications </w:t>
      </w:r>
    </w:p>
    <w:p w14:paraId="448AED99" w14:textId="77777777" w:rsidR="00CE0BB5" w:rsidRPr="00CE0BB5" w:rsidRDefault="00CE0BB5" w:rsidP="00E72B91">
      <w:pPr>
        <w:pStyle w:val="ListParagraph"/>
        <w:numPr>
          <w:ilvl w:val="0"/>
          <w:numId w:val="2"/>
        </w:numPr>
        <w:spacing w:line="300" w:lineRule="atLeast"/>
        <w:contextualSpacing w:val="0"/>
        <w:rPr>
          <w:sz w:val="24"/>
          <w:szCs w:val="24"/>
        </w:rPr>
      </w:pPr>
      <w:r w:rsidRPr="00CE0BB5">
        <w:rPr>
          <w:sz w:val="24"/>
          <w:szCs w:val="24"/>
        </w:rPr>
        <w:t>Capacity gaps in councils’ workforce have the potential to have negative impacts on people with protected characteristics: for example, an inability to meet demand for adult social care can impact older people and people with disabilities.</w:t>
      </w:r>
    </w:p>
    <w:p w14:paraId="20C9E6F1" w14:textId="77777777" w:rsidR="00CE0BB5" w:rsidRPr="001A1921" w:rsidRDefault="00CE0BB5" w:rsidP="00E72B91">
      <w:pPr>
        <w:pStyle w:val="ListParagraph"/>
        <w:numPr>
          <w:ilvl w:val="0"/>
          <w:numId w:val="2"/>
        </w:numPr>
        <w:spacing w:line="300" w:lineRule="atLeast"/>
        <w:contextualSpacing w:val="0"/>
        <w:rPr>
          <w:sz w:val="24"/>
          <w:szCs w:val="24"/>
        </w:rPr>
      </w:pPr>
      <w:r w:rsidRPr="00CE0BB5">
        <w:rPr>
          <w:sz w:val="24"/>
          <w:szCs w:val="24"/>
        </w:rPr>
        <w:t xml:space="preserve">Job seekers are looking for diverse workplaces: addressing equalities considerations is a crucial part of work to maximise the potential pool of local government workers and aid retention: support to councils to consider equalities good practice is an important part of the workforce provided by the LGA.  This is important in terms of culture and career aspirations, but also means consideration of flexible working and doing more to support the health and </w:t>
      </w:r>
      <w:r w:rsidRPr="001A1921">
        <w:rPr>
          <w:sz w:val="24"/>
          <w:szCs w:val="24"/>
        </w:rPr>
        <w:t xml:space="preserve">wellbeing of staff. </w:t>
      </w:r>
    </w:p>
    <w:p w14:paraId="7CAD75A7" w14:textId="77777777" w:rsidR="00CE0BB5" w:rsidRPr="001A1921" w:rsidRDefault="00CE0BB5" w:rsidP="00E72B91">
      <w:pPr>
        <w:pStyle w:val="ListParagraph"/>
        <w:numPr>
          <w:ilvl w:val="0"/>
          <w:numId w:val="2"/>
        </w:numPr>
        <w:spacing w:line="300" w:lineRule="atLeast"/>
        <w:contextualSpacing w:val="0"/>
        <w:rPr>
          <w:sz w:val="24"/>
          <w:szCs w:val="24"/>
        </w:rPr>
      </w:pPr>
      <w:r w:rsidRPr="001A1921">
        <w:rPr>
          <w:sz w:val="24"/>
          <w:szCs w:val="24"/>
        </w:rPr>
        <w:t xml:space="preserve">By working with councils and with relevant professional bodies, the LGA will target its policy and improvement work to address workforce capacity challenges towards those service areas where it is most needed, being mindful of equality, </w:t>
      </w:r>
      <w:proofErr w:type="gramStart"/>
      <w:r w:rsidRPr="001A1921">
        <w:rPr>
          <w:sz w:val="24"/>
          <w:szCs w:val="24"/>
        </w:rPr>
        <w:t>diversity</w:t>
      </w:r>
      <w:proofErr w:type="gramEnd"/>
      <w:r w:rsidRPr="001A1921">
        <w:rPr>
          <w:sz w:val="24"/>
          <w:szCs w:val="24"/>
        </w:rPr>
        <w:t xml:space="preserve"> and the impact on local communities.</w:t>
      </w:r>
    </w:p>
    <w:p w14:paraId="70E8925C" w14:textId="77777777" w:rsidR="00E272FA" w:rsidRPr="001A1921" w:rsidRDefault="00E272FA" w:rsidP="00E272FA">
      <w:pPr>
        <w:pStyle w:val="Heading2"/>
      </w:pPr>
      <w:r w:rsidRPr="001A1921">
        <w:t xml:space="preserve">Next steps </w:t>
      </w:r>
    </w:p>
    <w:bookmarkEnd w:id="0"/>
    <w:p w14:paraId="2543D0C7" w14:textId="2C1CECD5" w:rsidR="00E272FA" w:rsidRPr="00787B58" w:rsidRDefault="001A1921" w:rsidP="00E72B91">
      <w:pPr>
        <w:pStyle w:val="ListParagraph"/>
        <w:numPr>
          <w:ilvl w:val="0"/>
          <w:numId w:val="2"/>
        </w:numPr>
        <w:spacing w:line="300" w:lineRule="atLeast"/>
        <w:contextualSpacing w:val="0"/>
        <w:rPr>
          <w:sz w:val="24"/>
          <w:szCs w:val="24"/>
        </w:rPr>
      </w:pPr>
      <w:r w:rsidRPr="00787B58">
        <w:rPr>
          <w:sz w:val="24"/>
          <w:szCs w:val="24"/>
        </w:rPr>
        <w:t xml:space="preserve">A report incorporating feedback from Resources Board will be brought to Executive Advisory Board on </w:t>
      </w:r>
      <w:r w:rsidR="00432CD8" w:rsidRPr="00787B58">
        <w:rPr>
          <w:sz w:val="24"/>
          <w:szCs w:val="24"/>
        </w:rPr>
        <w:t>20 July.</w:t>
      </w:r>
    </w:p>
    <w:p w14:paraId="6BAC82CC" w14:textId="621856FB" w:rsidR="00B21C97" w:rsidRDefault="00B21C97">
      <w:pPr>
        <w:spacing w:line="259" w:lineRule="auto"/>
        <w:ind w:left="0" w:firstLine="0"/>
        <w:rPr>
          <w:b/>
          <w:sz w:val="28"/>
        </w:rPr>
      </w:pPr>
    </w:p>
    <w:sectPr w:rsidR="00B21C97" w:rsidSect="008A527D">
      <w:headerReference w:type="default" r:id="rId14"/>
      <w:footerReference w:type="default" r:id="rId15"/>
      <w:headerReference w:type="first" r:id="rId16"/>
      <w:footerReference w:type="first" r:id="rId17"/>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E42F" w14:textId="77777777" w:rsidR="00002F83" w:rsidRPr="00C803F3" w:rsidRDefault="00002F83" w:rsidP="00C803F3">
      <w:r>
        <w:separator/>
      </w:r>
    </w:p>
  </w:endnote>
  <w:endnote w:type="continuationSeparator" w:id="0">
    <w:p w14:paraId="657A1A16" w14:textId="77777777" w:rsidR="00002F83" w:rsidRPr="00C803F3" w:rsidRDefault="00002F83" w:rsidP="00C803F3">
      <w:r>
        <w:continuationSeparator/>
      </w:r>
    </w:p>
  </w:endnote>
  <w:endnote w:type="continuationNotice" w:id="1">
    <w:p w14:paraId="12E55B03" w14:textId="77777777" w:rsidR="00002F83" w:rsidRDefault="00002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029608F5"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w:t>
    </w:r>
    <w:r w:rsidRPr="000A1BCB">
      <w:rPr>
        <w:rFonts w:ascii="Arial" w:hAnsi="Arial" w:cs="Arial"/>
        <w:sz w:val="18"/>
        <w:szCs w:val="18"/>
      </w:rPr>
      <w:t xml:space="preserve">Councillor </w:t>
    </w:r>
    <w:r w:rsidR="00F507AE" w:rsidRPr="000A1BCB">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7EE3" w14:textId="77777777" w:rsidR="00002F83" w:rsidRPr="00C803F3" w:rsidRDefault="00002F83" w:rsidP="00C803F3">
      <w:r>
        <w:separator/>
      </w:r>
    </w:p>
  </w:footnote>
  <w:footnote w:type="continuationSeparator" w:id="0">
    <w:p w14:paraId="3D79BE07" w14:textId="77777777" w:rsidR="00002F83" w:rsidRPr="00C803F3" w:rsidRDefault="00002F83" w:rsidP="00C803F3">
      <w:r>
        <w:continuationSeparator/>
      </w:r>
    </w:p>
  </w:footnote>
  <w:footnote w:type="continuationNotice" w:id="1">
    <w:p w14:paraId="683F10BA" w14:textId="77777777" w:rsidR="00002F83" w:rsidRDefault="00002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0E5E54DF"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19909A7C" w:rsidR="00076675" w:rsidRPr="00C803F3" w:rsidRDefault="0092337D" w:rsidP="00076675">
              <w:r>
                <w:t>Resources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12T00:00:00Z">
              <w:dateFormat w:val="d MMMM yyyy"/>
              <w:lid w:val="en-GB"/>
              <w:storeMappedDataAs w:val="text"/>
              <w:calendar w:val="gregorian"/>
            </w:date>
          </w:sdtPr>
          <w:sdtContent>
            <w:p w14:paraId="44ABF6D1" w14:textId="3017647B" w:rsidR="00076675" w:rsidRPr="00C803F3" w:rsidRDefault="0092337D" w:rsidP="00076675">
              <w:r>
                <w:t>12 July</w:t>
              </w:r>
              <w:r w:rsidR="00076675">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24"/>
    <w:multiLevelType w:val="multilevel"/>
    <w:tmpl w:val="7604E51C"/>
    <w:lvl w:ilvl="0">
      <w:start w:val="1"/>
      <w:numFmt w:val="lowerLetter"/>
      <w:lvlText w:val="%1)"/>
      <w:lvlJc w:val="right"/>
      <w:pPr>
        <w:ind w:left="1174" w:hanging="454"/>
      </w:pPr>
      <w:rPr>
        <w:rFonts w:ascii="Arial" w:eastAsiaTheme="minorHAnsi" w:hAnsi="Arial" w:cs="Arial"/>
        <w:color w:val="000000" w:themeColor="text1"/>
        <w:sz w:val="24"/>
        <w:szCs w:val="24"/>
      </w:rPr>
    </w:lvl>
    <w:lvl w:ilvl="1">
      <w:start w:val="1"/>
      <w:numFmt w:val="bullet"/>
      <w:lvlText w:val=""/>
      <w:lvlJc w:val="left"/>
      <w:pPr>
        <w:ind w:left="1741" w:hanging="454"/>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2463F87"/>
    <w:multiLevelType w:val="hybridMultilevel"/>
    <w:tmpl w:val="E708A692"/>
    <w:lvl w:ilvl="0" w:tplc="D87A467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18006FB2"/>
    <w:multiLevelType w:val="hybridMultilevel"/>
    <w:tmpl w:val="ABFA334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69664F"/>
    <w:multiLevelType w:val="hybridMultilevel"/>
    <w:tmpl w:val="4182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31931"/>
    <w:multiLevelType w:val="hybridMultilevel"/>
    <w:tmpl w:val="8AA0A19A"/>
    <w:lvl w:ilvl="0" w:tplc="5D2CDC4A">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C62660"/>
    <w:multiLevelType w:val="hybridMultilevel"/>
    <w:tmpl w:val="96269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2533B1"/>
    <w:multiLevelType w:val="hybridMultilevel"/>
    <w:tmpl w:val="A81E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2514A"/>
    <w:multiLevelType w:val="hybridMultilevel"/>
    <w:tmpl w:val="6F36F20C"/>
    <w:lvl w:ilvl="0" w:tplc="E8C69CEC">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16cid:durableId="1183083424">
    <w:abstractNumId w:val="3"/>
  </w:num>
  <w:num w:numId="2" w16cid:durableId="1204634698">
    <w:abstractNumId w:val="6"/>
  </w:num>
  <w:num w:numId="3" w16cid:durableId="2020540788">
    <w:abstractNumId w:val="8"/>
  </w:num>
  <w:num w:numId="4" w16cid:durableId="1765540631">
    <w:abstractNumId w:val="2"/>
  </w:num>
  <w:num w:numId="5" w16cid:durableId="1961186617">
    <w:abstractNumId w:val="0"/>
  </w:num>
  <w:num w:numId="6" w16cid:durableId="1172178534">
    <w:abstractNumId w:val="4"/>
  </w:num>
  <w:num w:numId="7" w16cid:durableId="148594788">
    <w:abstractNumId w:val="5"/>
  </w:num>
  <w:num w:numId="8" w16cid:durableId="1244022927">
    <w:abstractNumId w:val="7"/>
  </w:num>
  <w:num w:numId="9" w16cid:durableId="2135521674">
    <w:abstractNumId w:val="9"/>
  </w:num>
  <w:num w:numId="10" w16cid:durableId="116274288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F83"/>
    <w:rsid w:val="00016097"/>
    <w:rsid w:val="00016D64"/>
    <w:rsid w:val="00034505"/>
    <w:rsid w:val="0004023B"/>
    <w:rsid w:val="00040498"/>
    <w:rsid w:val="00040C04"/>
    <w:rsid w:val="00040F3E"/>
    <w:rsid w:val="000468B5"/>
    <w:rsid w:val="00061B42"/>
    <w:rsid w:val="00063095"/>
    <w:rsid w:val="00065720"/>
    <w:rsid w:val="00071601"/>
    <w:rsid w:val="00073ED7"/>
    <w:rsid w:val="00076675"/>
    <w:rsid w:val="00090C76"/>
    <w:rsid w:val="000960F8"/>
    <w:rsid w:val="000A0086"/>
    <w:rsid w:val="000A04FC"/>
    <w:rsid w:val="000A1BCB"/>
    <w:rsid w:val="000B2F83"/>
    <w:rsid w:val="000B3F48"/>
    <w:rsid w:val="000B535C"/>
    <w:rsid w:val="000B6013"/>
    <w:rsid w:val="000B7DDE"/>
    <w:rsid w:val="000C635F"/>
    <w:rsid w:val="000C6DD1"/>
    <w:rsid w:val="000D1D6B"/>
    <w:rsid w:val="000D44E0"/>
    <w:rsid w:val="000D5894"/>
    <w:rsid w:val="000E410A"/>
    <w:rsid w:val="000E482A"/>
    <w:rsid w:val="000E57AA"/>
    <w:rsid w:val="000F0FDF"/>
    <w:rsid w:val="000F69FB"/>
    <w:rsid w:val="000F6A2D"/>
    <w:rsid w:val="000F7C14"/>
    <w:rsid w:val="00105DF0"/>
    <w:rsid w:val="0012419F"/>
    <w:rsid w:val="001344C1"/>
    <w:rsid w:val="001421FC"/>
    <w:rsid w:val="00146E00"/>
    <w:rsid w:val="001555EF"/>
    <w:rsid w:val="001568FC"/>
    <w:rsid w:val="001622A3"/>
    <w:rsid w:val="00164D05"/>
    <w:rsid w:val="00167476"/>
    <w:rsid w:val="001775A9"/>
    <w:rsid w:val="00180CD1"/>
    <w:rsid w:val="0018265A"/>
    <w:rsid w:val="0019343F"/>
    <w:rsid w:val="001A1921"/>
    <w:rsid w:val="001A1AEE"/>
    <w:rsid w:val="001B36CE"/>
    <w:rsid w:val="001C52ED"/>
    <w:rsid w:val="001E0D54"/>
    <w:rsid w:val="001E7D55"/>
    <w:rsid w:val="001F7344"/>
    <w:rsid w:val="00200EC4"/>
    <w:rsid w:val="0020561C"/>
    <w:rsid w:val="002073A6"/>
    <w:rsid w:val="00212BC4"/>
    <w:rsid w:val="00214425"/>
    <w:rsid w:val="0021623F"/>
    <w:rsid w:val="00235C2A"/>
    <w:rsid w:val="00236353"/>
    <w:rsid w:val="0024624C"/>
    <w:rsid w:val="00246AF0"/>
    <w:rsid w:val="002539E9"/>
    <w:rsid w:val="00266341"/>
    <w:rsid w:val="00272EF8"/>
    <w:rsid w:val="00297C4A"/>
    <w:rsid w:val="002A1523"/>
    <w:rsid w:val="002A5A91"/>
    <w:rsid w:val="002A68E9"/>
    <w:rsid w:val="002A6CED"/>
    <w:rsid w:val="002B7F0A"/>
    <w:rsid w:val="002D3EDE"/>
    <w:rsid w:val="002D6A69"/>
    <w:rsid w:val="002E0938"/>
    <w:rsid w:val="002E44E0"/>
    <w:rsid w:val="002F525C"/>
    <w:rsid w:val="00301A51"/>
    <w:rsid w:val="00303FA8"/>
    <w:rsid w:val="00304B45"/>
    <w:rsid w:val="00315375"/>
    <w:rsid w:val="003219CC"/>
    <w:rsid w:val="0032419B"/>
    <w:rsid w:val="0032615B"/>
    <w:rsid w:val="00326368"/>
    <w:rsid w:val="00335895"/>
    <w:rsid w:val="00341044"/>
    <w:rsid w:val="00342E8D"/>
    <w:rsid w:val="003446EC"/>
    <w:rsid w:val="00354A8E"/>
    <w:rsid w:val="00355747"/>
    <w:rsid w:val="00356B92"/>
    <w:rsid w:val="003650B1"/>
    <w:rsid w:val="00366643"/>
    <w:rsid w:val="00367349"/>
    <w:rsid w:val="00391E05"/>
    <w:rsid w:val="00394573"/>
    <w:rsid w:val="003950C3"/>
    <w:rsid w:val="003A2F7D"/>
    <w:rsid w:val="003A7667"/>
    <w:rsid w:val="003B11BA"/>
    <w:rsid w:val="003B1D17"/>
    <w:rsid w:val="003B30F7"/>
    <w:rsid w:val="003B3803"/>
    <w:rsid w:val="003C2965"/>
    <w:rsid w:val="003D05B2"/>
    <w:rsid w:val="003D0738"/>
    <w:rsid w:val="003D427C"/>
    <w:rsid w:val="003E2A9C"/>
    <w:rsid w:val="003E5D03"/>
    <w:rsid w:val="003E7AB2"/>
    <w:rsid w:val="00405736"/>
    <w:rsid w:val="00405877"/>
    <w:rsid w:val="0041532D"/>
    <w:rsid w:val="00423A78"/>
    <w:rsid w:val="00432CD8"/>
    <w:rsid w:val="00432E6C"/>
    <w:rsid w:val="00433967"/>
    <w:rsid w:val="00437AA2"/>
    <w:rsid w:val="00440921"/>
    <w:rsid w:val="0044264B"/>
    <w:rsid w:val="00454656"/>
    <w:rsid w:val="004648E0"/>
    <w:rsid w:val="0047488F"/>
    <w:rsid w:val="004821F1"/>
    <w:rsid w:val="004970F3"/>
    <w:rsid w:val="004A322B"/>
    <w:rsid w:val="004A67D2"/>
    <w:rsid w:val="004B14F6"/>
    <w:rsid w:val="004B3C2D"/>
    <w:rsid w:val="004B42D0"/>
    <w:rsid w:val="004B6654"/>
    <w:rsid w:val="004C6E63"/>
    <w:rsid w:val="004D55F4"/>
    <w:rsid w:val="004D653F"/>
    <w:rsid w:val="004E0225"/>
    <w:rsid w:val="004E1538"/>
    <w:rsid w:val="004E7187"/>
    <w:rsid w:val="004F2291"/>
    <w:rsid w:val="004F4E27"/>
    <w:rsid w:val="0050528E"/>
    <w:rsid w:val="00507B01"/>
    <w:rsid w:val="00511DFA"/>
    <w:rsid w:val="005215F2"/>
    <w:rsid w:val="00526666"/>
    <w:rsid w:val="005563D6"/>
    <w:rsid w:val="005642E7"/>
    <w:rsid w:val="00567515"/>
    <w:rsid w:val="00581932"/>
    <w:rsid w:val="00581A08"/>
    <w:rsid w:val="005854E0"/>
    <w:rsid w:val="00591D3B"/>
    <w:rsid w:val="00597D55"/>
    <w:rsid w:val="005A2782"/>
    <w:rsid w:val="005B2646"/>
    <w:rsid w:val="005B5F26"/>
    <w:rsid w:val="005B6564"/>
    <w:rsid w:val="005C5DF4"/>
    <w:rsid w:val="005E3E04"/>
    <w:rsid w:val="005E4989"/>
    <w:rsid w:val="00600BE0"/>
    <w:rsid w:val="006137D5"/>
    <w:rsid w:val="00613FE5"/>
    <w:rsid w:val="00614985"/>
    <w:rsid w:val="006339AF"/>
    <w:rsid w:val="00633A84"/>
    <w:rsid w:val="00634E1D"/>
    <w:rsid w:val="00643A74"/>
    <w:rsid w:val="00650884"/>
    <w:rsid w:val="006608B6"/>
    <w:rsid w:val="006651DD"/>
    <w:rsid w:val="0066578D"/>
    <w:rsid w:val="00667978"/>
    <w:rsid w:val="00670D67"/>
    <w:rsid w:val="00673532"/>
    <w:rsid w:val="006777F2"/>
    <w:rsid w:val="00685CB6"/>
    <w:rsid w:val="0068747A"/>
    <w:rsid w:val="006A32DA"/>
    <w:rsid w:val="006B359D"/>
    <w:rsid w:val="006B54E7"/>
    <w:rsid w:val="006C3C5C"/>
    <w:rsid w:val="006E0D9B"/>
    <w:rsid w:val="006E1649"/>
    <w:rsid w:val="006E1BB2"/>
    <w:rsid w:val="006E29A6"/>
    <w:rsid w:val="006F4793"/>
    <w:rsid w:val="006F68EC"/>
    <w:rsid w:val="007034F7"/>
    <w:rsid w:val="00703A1A"/>
    <w:rsid w:val="00710440"/>
    <w:rsid w:val="00712C86"/>
    <w:rsid w:val="00712CEE"/>
    <w:rsid w:val="00741EC3"/>
    <w:rsid w:val="007440D2"/>
    <w:rsid w:val="007601B3"/>
    <w:rsid w:val="007622BA"/>
    <w:rsid w:val="00763171"/>
    <w:rsid w:val="0076387A"/>
    <w:rsid w:val="00767C12"/>
    <w:rsid w:val="0077628F"/>
    <w:rsid w:val="007848A2"/>
    <w:rsid w:val="00787B58"/>
    <w:rsid w:val="007931AF"/>
    <w:rsid w:val="00795C95"/>
    <w:rsid w:val="007A0CAE"/>
    <w:rsid w:val="007B37EF"/>
    <w:rsid w:val="007D4715"/>
    <w:rsid w:val="007E07B8"/>
    <w:rsid w:val="007E0DEF"/>
    <w:rsid w:val="007E13F0"/>
    <w:rsid w:val="007E372A"/>
    <w:rsid w:val="007F158A"/>
    <w:rsid w:val="008037F5"/>
    <w:rsid w:val="0080661C"/>
    <w:rsid w:val="00807BAC"/>
    <w:rsid w:val="00820C8D"/>
    <w:rsid w:val="0082567F"/>
    <w:rsid w:val="00833BC4"/>
    <w:rsid w:val="00834612"/>
    <w:rsid w:val="00837A45"/>
    <w:rsid w:val="00842F37"/>
    <w:rsid w:val="00845BEF"/>
    <w:rsid w:val="00846EB5"/>
    <w:rsid w:val="008474C5"/>
    <w:rsid w:val="0085646A"/>
    <w:rsid w:val="008819CA"/>
    <w:rsid w:val="0088242E"/>
    <w:rsid w:val="00891AE9"/>
    <w:rsid w:val="008951A6"/>
    <w:rsid w:val="008A527D"/>
    <w:rsid w:val="008C0924"/>
    <w:rsid w:val="008C3827"/>
    <w:rsid w:val="008D7EFB"/>
    <w:rsid w:val="008E2527"/>
    <w:rsid w:val="008E7CFF"/>
    <w:rsid w:val="009000D1"/>
    <w:rsid w:val="00905434"/>
    <w:rsid w:val="009064E0"/>
    <w:rsid w:val="00910358"/>
    <w:rsid w:val="00920B10"/>
    <w:rsid w:val="00922111"/>
    <w:rsid w:val="0092337D"/>
    <w:rsid w:val="00924BF1"/>
    <w:rsid w:val="00940FBD"/>
    <w:rsid w:val="00951D16"/>
    <w:rsid w:val="0095290A"/>
    <w:rsid w:val="009649BD"/>
    <w:rsid w:val="009720C0"/>
    <w:rsid w:val="00981121"/>
    <w:rsid w:val="00981129"/>
    <w:rsid w:val="00983E95"/>
    <w:rsid w:val="009845EE"/>
    <w:rsid w:val="0099388B"/>
    <w:rsid w:val="00997A15"/>
    <w:rsid w:val="009A48EC"/>
    <w:rsid w:val="009B1AA8"/>
    <w:rsid w:val="009B4C8F"/>
    <w:rsid w:val="009B54C2"/>
    <w:rsid w:val="009B6F95"/>
    <w:rsid w:val="009C1689"/>
    <w:rsid w:val="009D1012"/>
    <w:rsid w:val="009D4E39"/>
    <w:rsid w:val="009D63D8"/>
    <w:rsid w:val="009F0DD7"/>
    <w:rsid w:val="00A0321B"/>
    <w:rsid w:val="00A04801"/>
    <w:rsid w:val="00A201FD"/>
    <w:rsid w:val="00A46A6F"/>
    <w:rsid w:val="00A50AA5"/>
    <w:rsid w:val="00A55506"/>
    <w:rsid w:val="00A57980"/>
    <w:rsid w:val="00A71CA2"/>
    <w:rsid w:val="00A750BB"/>
    <w:rsid w:val="00A84A11"/>
    <w:rsid w:val="00AE1208"/>
    <w:rsid w:val="00AF2F9C"/>
    <w:rsid w:val="00AF441F"/>
    <w:rsid w:val="00AF5214"/>
    <w:rsid w:val="00AF5B38"/>
    <w:rsid w:val="00AF6246"/>
    <w:rsid w:val="00B00723"/>
    <w:rsid w:val="00B01021"/>
    <w:rsid w:val="00B014D3"/>
    <w:rsid w:val="00B11E08"/>
    <w:rsid w:val="00B21C97"/>
    <w:rsid w:val="00B27AF0"/>
    <w:rsid w:val="00B35E0D"/>
    <w:rsid w:val="00B44305"/>
    <w:rsid w:val="00B451CC"/>
    <w:rsid w:val="00B55FBE"/>
    <w:rsid w:val="00B57F41"/>
    <w:rsid w:val="00B66284"/>
    <w:rsid w:val="00B823BD"/>
    <w:rsid w:val="00B84F31"/>
    <w:rsid w:val="00B905B6"/>
    <w:rsid w:val="00B93314"/>
    <w:rsid w:val="00BA0C1D"/>
    <w:rsid w:val="00BA116E"/>
    <w:rsid w:val="00BA21FB"/>
    <w:rsid w:val="00BC287A"/>
    <w:rsid w:val="00BC73A5"/>
    <w:rsid w:val="00BC768C"/>
    <w:rsid w:val="00BD4977"/>
    <w:rsid w:val="00BD77B1"/>
    <w:rsid w:val="00BE1C26"/>
    <w:rsid w:val="00BE34BC"/>
    <w:rsid w:val="00BF2E39"/>
    <w:rsid w:val="00BF3B8D"/>
    <w:rsid w:val="00BF6183"/>
    <w:rsid w:val="00C00150"/>
    <w:rsid w:val="00C0470B"/>
    <w:rsid w:val="00C04E31"/>
    <w:rsid w:val="00C16991"/>
    <w:rsid w:val="00C231B4"/>
    <w:rsid w:val="00C264C4"/>
    <w:rsid w:val="00C33C53"/>
    <w:rsid w:val="00C44DC5"/>
    <w:rsid w:val="00C53B81"/>
    <w:rsid w:val="00C552AF"/>
    <w:rsid w:val="00C55A9E"/>
    <w:rsid w:val="00C64100"/>
    <w:rsid w:val="00C649B8"/>
    <w:rsid w:val="00C73004"/>
    <w:rsid w:val="00C73E92"/>
    <w:rsid w:val="00C7555A"/>
    <w:rsid w:val="00C7596B"/>
    <w:rsid w:val="00C803F3"/>
    <w:rsid w:val="00C83DD8"/>
    <w:rsid w:val="00C8453E"/>
    <w:rsid w:val="00C939B6"/>
    <w:rsid w:val="00C967D7"/>
    <w:rsid w:val="00CA44E4"/>
    <w:rsid w:val="00CB74E3"/>
    <w:rsid w:val="00CC367D"/>
    <w:rsid w:val="00CD2BBB"/>
    <w:rsid w:val="00CE0BB5"/>
    <w:rsid w:val="00CE4A84"/>
    <w:rsid w:val="00D007DF"/>
    <w:rsid w:val="00D03032"/>
    <w:rsid w:val="00D07BD2"/>
    <w:rsid w:val="00D17C33"/>
    <w:rsid w:val="00D2258E"/>
    <w:rsid w:val="00D318E4"/>
    <w:rsid w:val="00D329A4"/>
    <w:rsid w:val="00D40CDF"/>
    <w:rsid w:val="00D45B4D"/>
    <w:rsid w:val="00D61CC8"/>
    <w:rsid w:val="00D77D6B"/>
    <w:rsid w:val="00D77DA9"/>
    <w:rsid w:val="00D903D3"/>
    <w:rsid w:val="00DA7394"/>
    <w:rsid w:val="00DC3674"/>
    <w:rsid w:val="00DC5141"/>
    <w:rsid w:val="00DE2BC5"/>
    <w:rsid w:val="00DF7E0D"/>
    <w:rsid w:val="00E0591F"/>
    <w:rsid w:val="00E11532"/>
    <w:rsid w:val="00E120B8"/>
    <w:rsid w:val="00E122FD"/>
    <w:rsid w:val="00E12663"/>
    <w:rsid w:val="00E17790"/>
    <w:rsid w:val="00E272FA"/>
    <w:rsid w:val="00E547BC"/>
    <w:rsid w:val="00E64848"/>
    <w:rsid w:val="00E72B91"/>
    <w:rsid w:val="00E732E3"/>
    <w:rsid w:val="00E740A2"/>
    <w:rsid w:val="00E849D7"/>
    <w:rsid w:val="00E9730B"/>
    <w:rsid w:val="00EC10C2"/>
    <w:rsid w:val="00ED1C15"/>
    <w:rsid w:val="00ED3C40"/>
    <w:rsid w:val="00ED5B9E"/>
    <w:rsid w:val="00EF6EC0"/>
    <w:rsid w:val="00EF79E1"/>
    <w:rsid w:val="00F156E9"/>
    <w:rsid w:val="00F22AE4"/>
    <w:rsid w:val="00F239FC"/>
    <w:rsid w:val="00F24AFD"/>
    <w:rsid w:val="00F25009"/>
    <w:rsid w:val="00F409D8"/>
    <w:rsid w:val="00F417C5"/>
    <w:rsid w:val="00F4378D"/>
    <w:rsid w:val="00F507AE"/>
    <w:rsid w:val="00F509B2"/>
    <w:rsid w:val="00F50AC6"/>
    <w:rsid w:val="00F52388"/>
    <w:rsid w:val="00F56CEF"/>
    <w:rsid w:val="00F63446"/>
    <w:rsid w:val="00F63EEE"/>
    <w:rsid w:val="00F667E7"/>
    <w:rsid w:val="00F81292"/>
    <w:rsid w:val="00F8137F"/>
    <w:rsid w:val="00F83077"/>
    <w:rsid w:val="00F947D2"/>
    <w:rsid w:val="00F95BC6"/>
    <w:rsid w:val="00FA0FE3"/>
    <w:rsid w:val="00FB19CB"/>
    <w:rsid w:val="00FB2CB4"/>
    <w:rsid w:val="00FB69DC"/>
    <w:rsid w:val="00FD553E"/>
    <w:rsid w:val="00FD5D87"/>
    <w:rsid w:val="00FE74D2"/>
    <w:rsid w:val="00FF1861"/>
    <w:rsid w:val="0185B080"/>
    <w:rsid w:val="02EDEB98"/>
    <w:rsid w:val="04B92F76"/>
    <w:rsid w:val="069F535B"/>
    <w:rsid w:val="072F4501"/>
    <w:rsid w:val="07FE8686"/>
    <w:rsid w:val="0DF79593"/>
    <w:rsid w:val="10691545"/>
    <w:rsid w:val="12055445"/>
    <w:rsid w:val="14605BAE"/>
    <w:rsid w:val="147D87F2"/>
    <w:rsid w:val="15BE8D04"/>
    <w:rsid w:val="15C27EBB"/>
    <w:rsid w:val="20EF27A9"/>
    <w:rsid w:val="21B59317"/>
    <w:rsid w:val="23386BD2"/>
    <w:rsid w:val="23D74403"/>
    <w:rsid w:val="244F4F20"/>
    <w:rsid w:val="26CC6578"/>
    <w:rsid w:val="2A3BB00E"/>
    <w:rsid w:val="2BFD0E69"/>
    <w:rsid w:val="31DACC16"/>
    <w:rsid w:val="33C1CD76"/>
    <w:rsid w:val="37DDD047"/>
    <w:rsid w:val="39824C9A"/>
    <w:rsid w:val="3A25E056"/>
    <w:rsid w:val="3B2803DE"/>
    <w:rsid w:val="3CDAB0CE"/>
    <w:rsid w:val="3D6AAF83"/>
    <w:rsid w:val="3E1141B0"/>
    <w:rsid w:val="3F506671"/>
    <w:rsid w:val="4A69AF6D"/>
    <w:rsid w:val="4A945A6E"/>
    <w:rsid w:val="4ABB3607"/>
    <w:rsid w:val="4D04E8CD"/>
    <w:rsid w:val="4DC44A0F"/>
    <w:rsid w:val="50F925AF"/>
    <w:rsid w:val="536C0E20"/>
    <w:rsid w:val="56ACFF64"/>
    <w:rsid w:val="5753D6BB"/>
    <w:rsid w:val="62F1895C"/>
    <w:rsid w:val="65E3D0EA"/>
    <w:rsid w:val="689DB7DB"/>
    <w:rsid w:val="69672CAA"/>
    <w:rsid w:val="787D939F"/>
    <w:rsid w:val="7A35F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3ADF805B-5706-4600-9EFD-CDA160C2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D4715"/>
    <w:pPr>
      <w:ind w:left="0" w:firstLine="0"/>
    </w:pPr>
    <w:rPr>
      <w:b/>
      <w:bCs/>
      <w:sz w:val="24"/>
      <w:szCs w:val="24"/>
    </w:rPr>
  </w:style>
  <w:style w:type="character" w:customStyle="1" w:styleId="Title3Char">
    <w:name w:val="Title 3 Char"/>
    <w:basedOn w:val="DefaultParagraphFont"/>
    <w:link w:val="Title3"/>
    <w:rsid w:val="007D4715"/>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073ED7"/>
    <w:rPr>
      <w:sz w:val="16"/>
      <w:szCs w:val="16"/>
    </w:rPr>
  </w:style>
  <w:style w:type="paragraph" w:styleId="CommentText">
    <w:name w:val="annotation text"/>
    <w:basedOn w:val="Normal"/>
    <w:link w:val="CommentTextChar"/>
    <w:uiPriority w:val="99"/>
    <w:unhideWhenUsed/>
    <w:rsid w:val="00073ED7"/>
    <w:pPr>
      <w:widowControl w:val="0"/>
      <w:spacing w:after="120" w:line="240" w:lineRule="atLeast"/>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rsid w:val="00073ED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21C97"/>
    <w:pPr>
      <w:widowControl/>
      <w:spacing w:after="160" w:line="240" w:lineRule="auto"/>
      <w:ind w:left="357" w:hanging="357"/>
    </w:pPr>
    <w:rPr>
      <w:rFonts w:eastAsiaTheme="minorHAnsi" w:cstheme="minorBidi"/>
      <w:b/>
      <w:bCs/>
    </w:rPr>
  </w:style>
  <w:style w:type="character" w:customStyle="1" w:styleId="CommentSubjectChar">
    <w:name w:val="Comment Subject Char"/>
    <w:basedOn w:val="CommentTextChar"/>
    <w:link w:val="CommentSubject"/>
    <w:uiPriority w:val="99"/>
    <w:semiHidden/>
    <w:rsid w:val="00B21C97"/>
    <w:rPr>
      <w:rFonts w:ascii="Arial" w:eastAsiaTheme="minorHAnsi" w:hAnsi="Arial" w:cs="Times New Roman"/>
      <w:b/>
      <w:bCs/>
      <w:sz w:val="20"/>
      <w:szCs w:val="20"/>
      <w:lang w:eastAsia="en-US"/>
    </w:rPr>
  </w:style>
  <w:style w:type="paragraph" w:styleId="Revision">
    <w:name w:val="Revision"/>
    <w:hidden/>
    <w:uiPriority w:val="99"/>
    <w:semiHidden/>
    <w:rsid w:val="006E0D9B"/>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LG%20Workforce%20Survey%202022%20-%20Final%20for%20Publication%20-%20Tables%20Hard%20Cod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will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omi.cooke@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24D1"/>
    <w:rsid w:val="001647EA"/>
    <w:rsid w:val="00170377"/>
    <w:rsid w:val="001E0F30"/>
    <w:rsid w:val="001F4694"/>
    <w:rsid w:val="002C242D"/>
    <w:rsid w:val="00354EF0"/>
    <w:rsid w:val="00360804"/>
    <w:rsid w:val="003E5794"/>
    <w:rsid w:val="003F57C8"/>
    <w:rsid w:val="0047172F"/>
    <w:rsid w:val="004762C3"/>
    <w:rsid w:val="0056144E"/>
    <w:rsid w:val="00670FDB"/>
    <w:rsid w:val="0073568A"/>
    <w:rsid w:val="007447C8"/>
    <w:rsid w:val="008351C9"/>
    <w:rsid w:val="0089263D"/>
    <w:rsid w:val="00903F65"/>
    <w:rsid w:val="00910A2C"/>
    <w:rsid w:val="0092034D"/>
    <w:rsid w:val="009A43ED"/>
    <w:rsid w:val="00A27591"/>
    <w:rsid w:val="00A47E1F"/>
    <w:rsid w:val="00A92047"/>
    <w:rsid w:val="00C35EC1"/>
    <w:rsid w:val="00CD1B4F"/>
    <w:rsid w:val="00D128F0"/>
    <w:rsid w:val="00D84474"/>
    <w:rsid w:val="00DB2523"/>
    <w:rsid w:val="00EB272D"/>
    <w:rsid w:val="00F22834"/>
    <w:rsid w:val="00F52942"/>
    <w:rsid w:val="00F60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616dbc33-cac5-4339-8453-a6f0988a6d5c">
      <Terms xmlns="http://schemas.microsoft.com/office/infopath/2007/PartnerControls"/>
    </lcf76f155ced4ddcb4097134ff3c332f>
    <SharedWithUsers xmlns="61f6d86c-03d7-48e0-9141-47a8479da315">
      <UserInfo>
        <DisplayName>Naomi Cooke</DisplayName>
        <AccountId>13</AccountId>
        <AccountType/>
      </UserInfo>
      <UserInfo>
        <DisplayName>Jamie Saddler</DisplayName>
        <AccountId>84</AccountId>
        <AccountType/>
      </UserInfo>
      <UserInfo>
        <DisplayName>Suzanne Hudson</DisplayName>
        <AccountId>33</AccountId>
        <AccountType/>
      </UserInfo>
      <UserInfo>
        <DisplayName>Heather Wills</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 ds:uri="616dbc33-cac5-4339-8453-a6f0988a6d5c"/>
  </ds:schemaRefs>
</ds:datastoreItem>
</file>

<file path=customXml/itemProps2.xml><?xml version="1.0" encoding="utf-8"?>
<ds:datastoreItem xmlns:ds="http://schemas.openxmlformats.org/officeDocument/2006/customXml" ds:itemID="{24D3C455-A94C-4AD9-8031-C00A4084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111</cp:revision>
  <dcterms:created xsi:type="dcterms:W3CDTF">2023-05-27T04:49:00Z</dcterms:created>
  <dcterms:modified xsi:type="dcterms:W3CDTF">2023-07-05T15:00:00Z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0x0101007301519837CFE3478764247AFFD072DD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